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7C19" w14:textId="014BAABB" w:rsidR="00005AE3" w:rsidRPr="00761897" w:rsidRDefault="001C1D05" w:rsidP="00005AE3">
      <w:pPr>
        <w:ind w:left="708" w:hanging="708"/>
        <w:jc w:val="center"/>
        <w:rPr>
          <w:rFonts w:ascii="Times New Roman" w:hAnsi="Times New Roman" w:cs="Times New Roman"/>
          <w:b/>
          <w:bCs/>
          <w:szCs w:val="24"/>
        </w:rPr>
      </w:pPr>
      <w:r>
        <w:rPr>
          <w:rFonts w:ascii="Times New Roman" w:hAnsi="Times New Roman" w:cs="Times New Roman"/>
          <w:b/>
          <w:bCs/>
          <w:szCs w:val="24"/>
        </w:rPr>
        <w:t>ZASADY FUNKCJONOWANIA</w:t>
      </w:r>
      <w:r w:rsidR="00005AE3" w:rsidRPr="00761897">
        <w:rPr>
          <w:rFonts w:ascii="Times New Roman" w:hAnsi="Times New Roman" w:cs="Times New Roman"/>
          <w:b/>
          <w:bCs/>
          <w:szCs w:val="24"/>
        </w:rPr>
        <w:t xml:space="preserve"> BILETU ROCZNEGO</w:t>
      </w:r>
    </w:p>
    <w:p w14:paraId="1934C5D1" w14:textId="77777777" w:rsidR="00005AE3" w:rsidRPr="00761897" w:rsidRDefault="00005AE3" w:rsidP="00005AE3">
      <w:pPr>
        <w:ind w:left="708" w:hanging="708"/>
        <w:jc w:val="center"/>
        <w:rPr>
          <w:rFonts w:ascii="Times New Roman" w:hAnsi="Times New Roman" w:cs="Times New Roman"/>
          <w:b/>
          <w:bCs/>
          <w:szCs w:val="24"/>
        </w:rPr>
      </w:pPr>
      <w:r w:rsidRPr="00761897">
        <w:rPr>
          <w:rFonts w:ascii="Times New Roman" w:hAnsi="Times New Roman" w:cs="Times New Roman"/>
          <w:b/>
          <w:bCs/>
          <w:szCs w:val="24"/>
        </w:rPr>
        <w:t>NA ZAMEK KRÓLEWSKI NA WAWELU</w:t>
      </w:r>
    </w:p>
    <w:p w14:paraId="16F927B6" w14:textId="4EE16B86" w:rsidR="00761897" w:rsidRPr="008B6442" w:rsidRDefault="00761897" w:rsidP="001C1D05">
      <w:pPr>
        <w:rPr>
          <w:rFonts w:ascii="Times New Roman" w:hAnsi="Times New Roman" w:cs="Times New Roman"/>
          <w:b/>
          <w:szCs w:val="24"/>
        </w:rPr>
      </w:pPr>
    </w:p>
    <w:p w14:paraId="0E5224E3" w14:textId="77777777"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Bilet ważny jest tylko dla jednej osoby, jest imienny, każdorazowo wymagał będzie przy wejściu na wystawę okazania dokumentu tożsamości oraz w przypadku biletu ulgowego, uprawnienia do ulgi.</w:t>
      </w:r>
    </w:p>
    <w:p w14:paraId="005DDE01" w14:textId="7FA86536"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 xml:space="preserve">Bilet w formie karty </w:t>
      </w:r>
      <w:r w:rsidR="009E749A" w:rsidRPr="00761897">
        <w:rPr>
          <w:rFonts w:ascii="Times New Roman" w:hAnsi="Times New Roman" w:cs="Times New Roman"/>
          <w:szCs w:val="24"/>
        </w:rPr>
        <w:t xml:space="preserve">wystawiany jest do pięciu dni od daty zakupu w </w:t>
      </w:r>
      <w:r w:rsidR="009E749A">
        <w:rPr>
          <w:rFonts w:ascii="Times New Roman" w:hAnsi="Times New Roman" w:cs="Times New Roman"/>
          <w:szCs w:val="24"/>
        </w:rPr>
        <w:t>Kasie Biletowej w Centrum Turystycznym</w:t>
      </w:r>
      <w:r w:rsidR="009E749A" w:rsidRPr="00761897">
        <w:rPr>
          <w:rFonts w:ascii="Times New Roman" w:hAnsi="Times New Roman" w:cs="Times New Roman"/>
          <w:szCs w:val="24"/>
        </w:rPr>
        <w:t xml:space="preserve"> – od czasu zakupu</w:t>
      </w:r>
      <w:r w:rsidR="009E749A">
        <w:rPr>
          <w:rFonts w:ascii="Times New Roman" w:hAnsi="Times New Roman" w:cs="Times New Roman"/>
          <w:szCs w:val="24"/>
        </w:rPr>
        <w:t>,</w:t>
      </w:r>
      <w:r w:rsidRPr="00761897">
        <w:rPr>
          <w:rFonts w:ascii="Times New Roman" w:hAnsi="Times New Roman" w:cs="Times New Roman"/>
          <w:szCs w:val="24"/>
        </w:rPr>
        <w:t xml:space="preserve"> do czasu jego wydania, wejście na wystawy będzie możliwe na podstawie paragonu dołączonego do biletu tymczasowego z zapisanymi danymi osobowymi klienta. Po</w:t>
      </w:r>
      <w:r w:rsidR="008B6442">
        <w:rPr>
          <w:rFonts w:ascii="Times New Roman" w:hAnsi="Times New Roman" w:cs="Times New Roman"/>
          <w:szCs w:val="24"/>
        </w:rPr>
        <w:t> </w:t>
      </w:r>
      <w:r w:rsidRPr="00761897">
        <w:rPr>
          <w:rFonts w:ascii="Times New Roman" w:hAnsi="Times New Roman" w:cs="Times New Roman"/>
          <w:szCs w:val="24"/>
        </w:rPr>
        <w:t>tym terminie do wejścia uprawnia tylko karta.</w:t>
      </w:r>
    </w:p>
    <w:p w14:paraId="2C1A6F0E" w14:textId="77777777"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 xml:space="preserve">Bilet nie podlega zwrotowi, ani wymianie, nie jest wystawiany jego duplikat, wyjątek stanowi formalna zmiana nazwiska (bilet wtedy wymieniany jest na podstawie nowych dokumentów, konieczny jest zwrot biletu wystawionego na poprzednie dane do </w:t>
      </w:r>
      <w:proofErr w:type="spellStart"/>
      <w:r w:rsidRPr="00761897">
        <w:rPr>
          <w:rFonts w:ascii="Times New Roman" w:hAnsi="Times New Roman" w:cs="Times New Roman"/>
          <w:szCs w:val="24"/>
        </w:rPr>
        <w:t>ZknW</w:t>
      </w:r>
      <w:proofErr w:type="spellEnd"/>
      <w:r w:rsidRPr="00761897">
        <w:rPr>
          <w:rFonts w:ascii="Times New Roman" w:hAnsi="Times New Roman" w:cs="Times New Roman"/>
          <w:szCs w:val="24"/>
        </w:rPr>
        <w:t>).</w:t>
      </w:r>
    </w:p>
    <w:p w14:paraId="0D2349C0" w14:textId="77777777"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Bilet jest ważny 365 lub w przypadku roku przestępnego 366 dni od daty zakupu.</w:t>
      </w:r>
    </w:p>
    <w:p w14:paraId="1DD10E90" w14:textId="46DD8E93"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Bilet uprawnia do nielimitowanego wejścia na wszystkie dostępne wystawy stałe, sezonowe i</w:t>
      </w:r>
      <w:r w:rsidR="008B6442">
        <w:rPr>
          <w:rFonts w:ascii="Times New Roman" w:hAnsi="Times New Roman" w:cs="Times New Roman"/>
          <w:szCs w:val="24"/>
        </w:rPr>
        <w:t> </w:t>
      </w:r>
      <w:r w:rsidRPr="00761897">
        <w:rPr>
          <w:rFonts w:ascii="Times New Roman" w:hAnsi="Times New Roman" w:cs="Times New Roman"/>
          <w:szCs w:val="24"/>
        </w:rPr>
        <w:t>czasowe Zamku Królewskiego na Wawelu (bez tras i bez zwiedzania z przewodnikiem w</w:t>
      </w:r>
      <w:r w:rsidR="008B6442">
        <w:rPr>
          <w:rFonts w:ascii="Times New Roman" w:hAnsi="Times New Roman" w:cs="Times New Roman"/>
          <w:szCs w:val="24"/>
        </w:rPr>
        <w:t> </w:t>
      </w:r>
      <w:r w:rsidRPr="00761897">
        <w:rPr>
          <w:rFonts w:ascii="Times New Roman" w:hAnsi="Times New Roman" w:cs="Times New Roman"/>
          <w:szCs w:val="24"/>
        </w:rPr>
        <w:t>cenie, bez wydarzeń specjalnych).</w:t>
      </w:r>
    </w:p>
    <w:p w14:paraId="78286C8C" w14:textId="4A6888EA"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W przypadku gdy posiadacz biletu ulgowego utraci uprawnienia do ulgi, bilet pozostaje ważny, niemniej jednak właściciel ma nadal wylegitymować się dokumentem (lub jego kopią), który w</w:t>
      </w:r>
      <w:r w:rsidR="008B6442">
        <w:rPr>
          <w:rFonts w:ascii="Times New Roman" w:hAnsi="Times New Roman" w:cs="Times New Roman"/>
          <w:szCs w:val="24"/>
        </w:rPr>
        <w:t> </w:t>
      </w:r>
      <w:r w:rsidRPr="00761897">
        <w:rPr>
          <w:rFonts w:ascii="Times New Roman" w:hAnsi="Times New Roman" w:cs="Times New Roman"/>
          <w:szCs w:val="24"/>
        </w:rPr>
        <w:t>dniu zakupu upoważniał do ulgi.</w:t>
      </w:r>
    </w:p>
    <w:p w14:paraId="41D92694" w14:textId="77777777"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W przypadku gdy posiadacz biletu normalnego nabędzie uprawnienia do ulgi, nie przysługuje mu prawo wymiany na bilet ulgowy.</w:t>
      </w:r>
    </w:p>
    <w:p w14:paraId="42A9CF03" w14:textId="271A1409" w:rsidR="00761897" w:rsidRPr="00761897" w:rsidRDefault="00761897" w:rsidP="00761897">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Chcąc wejść na ekspozycję, właściciel biletu kieruje się od razu do recepcji wybranej wystawy. Wejście dla posiadaczy biletu rocznego odbywa się zgodnie z kolejnością oczekujących osób i</w:t>
      </w:r>
      <w:r w:rsidR="008B6442">
        <w:rPr>
          <w:rFonts w:ascii="Times New Roman" w:hAnsi="Times New Roman" w:cs="Times New Roman"/>
          <w:szCs w:val="24"/>
        </w:rPr>
        <w:t> </w:t>
      </w:r>
      <w:r w:rsidRPr="00761897">
        <w:rPr>
          <w:rFonts w:ascii="Times New Roman" w:hAnsi="Times New Roman" w:cs="Times New Roman"/>
          <w:szCs w:val="24"/>
        </w:rPr>
        <w:t xml:space="preserve">jest regulowane przez pracowników poszczególnych Recepcji </w:t>
      </w:r>
      <w:proofErr w:type="spellStart"/>
      <w:r w:rsidRPr="00761897">
        <w:rPr>
          <w:rFonts w:ascii="Times New Roman" w:hAnsi="Times New Roman" w:cs="Times New Roman"/>
          <w:szCs w:val="24"/>
        </w:rPr>
        <w:t>ZKnW</w:t>
      </w:r>
      <w:proofErr w:type="spellEnd"/>
      <w:r w:rsidRPr="00761897">
        <w:rPr>
          <w:rFonts w:ascii="Times New Roman" w:hAnsi="Times New Roman" w:cs="Times New Roman"/>
          <w:szCs w:val="24"/>
        </w:rPr>
        <w:t>.</w:t>
      </w:r>
    </w:p>
    <w:p w14:paraId="53FC0E8E" w14:textId="77777777" w:rsidR="004E795B" w:rsidRDefault="00761897" w:rsidP="004E795B">
      <w:pPr>
        <w:pStyle w:val="Akapitzlist"/>
        <w:numPr>
          <w:ilvl w:val="0"/>
          <w:numId w:val="1"/>
        </w:numPr>
        <w:ind w:hanging="720"/>
        <w:jc w:val="both"/>
        <w:rPr>
          <w:rFonts w:ascii="Times New Roman" w:hAnsi="Times New Roman" w:cs="Times New Roman"/>
          <w:szCs w:val="24"/>
        </w:rPr>
      </w:pPr>
      <w:r w:rsidRPr="00761897">
        <w:rPr>
          <w:rFonts w:ascii="Times New Roman" w:hAnsi="Times New Roman" w:cs="Times New Roman"/>
          <w:szCs w:val="24"/>
        </w:rPr>
        <w:t>Posiadacz biletu rocznego może dodatkowo dokonywać w Biurze Rezerwacji DORT zakupu usługi przewodnickiej.</w:t>
      </w:r>
    </w:p>
    <w:p w14:paraId="4E7FBE16" w14:textId="3BFD274D" w:rsidR="004E795B" w:rsidRPr="004E795B" w:rsidRDefault="004E795B" w:rsidP="004E795B">
      <w:pPr>
        <w:pStyle w:val="Akapitzlist"/>
        <w:numPr>
          <w:ilvl w:val="0"/>
          <w:numId w:val="1"/>
        </w:numPr>
        <w:ind w:hanging="720"/>
        <w:jc w:val="both"/>
        <w:rPr>
          <w:rFonts w:ascii="Times New Roman" w:hAnsi="Times New Roman" w:cs="Times New Roman"/>
          <w:szCs w:val="24"/>
        </w:rPr>
      </w:pPr>
      <w:r w:rsidRPr="004E795B">
        <w:rPr>
          <w:rFonts w:ascii="Times New Roman" w:hAnsi="Times New Roman" w:cs="Times New Roman"/>
          <w:szCs w:val="24"/>
        </w:rPr>
        <w:t xml:space="preserve">Dane osobowe będą przetwarzane w celu zakupu i rozliczenia biletu rocznego na podstawie Art. 6 pkt.1, lit. b) RODO. Administratorem Pani/Pana danych osobowych jest Zamek Królewski na Wawelu - Państwowe Zbiory Sztuki, Wawel 5, 31-001 Kraków;  Kontakt do inspektora ochrony danych: </w:t>
      </w:r>
      <w:hyperlink r:id="rId8" w:history="1">
        <w:r w:rsidRPr="002B3186">
          <w:rPr>
            <w:rStyle w:val="Hipercze"/>
            <w:rFonts w:ascii="Times New Roman" w:hAnsi="Times New Roman" w:cs="Times New Roman"/>
            <w:szCs w:val="24"/>
          </w:rPr>
          <w:t>iod@wawel.org.pl</w:t>
        </w:r>
      </w:hyperlink>
      <w:r w:rsidRPr="004E795B">
        <w:rPr>
          <w:rFonts w:ascii="Times New Roman" w:hAnsi="Times New Roman" w:cs="Times New Roman"/>
          <w:szCs w:val="24"/>
        </w:rPr>
        <w:t>;</w:t>
      </w:r>
      <w:r>
        <w:rPr>
          <w:rFonts w:ascii="Times New Roman" w:hAnsi="Times New Roman" w:cs="Times New Roman"/>
          <w:szCs w:val="24"/>
        </w:rPr>
        <w:t xml:space="preserve"> </w:t>
      </w:r>
      <w:r w:rsidRPr="004E795B">
        <w:rPr>
          <w:rFonts w:ascii="Times New Roman" w:hAnsi="Times New Roman" w:cs="Times New Roman"/>
          <w:szCs w:val="24"/>
        </w:rPr>
        <w:t>Pełna treść klauzuli informacyjnej dostępna na: https://wawel.krakow.pl/rodo.</w:t>
      </w:r>
    </w:p>
    <w:p w14:paraId="18118D08" w14:textId="7B19F364" w:rsidR="008B6442" w:rsidRDefault="008B6442" w:rsidP="00005AE3">
      <w:pPr>
        <w:ind w:left="708" w:hanging="708"/>
        <w:rPr>
          <w:rFonts w:ascii="Times New Roman" w:hAnsi="Times New Roman" w:cs="Times New Roman"/>
          <w:szCs w:val="24"/>
        </w:rPr>
      </w:pPr>
    </w:p>
    <w:p w14:paraId="1FF2431C" w14:textId="75333943" w:rsidR="001B749A" w:rsidRPr="009E749A" w:rsidRDefault="001C1D05" w:rsidP="00607DD0">
      <w:pPr>
        <w:ind w:left="709" w:hanging="1"/>
        <w:jc w:val="both"/>
        <w:rPr>
          <w:rFonts w:ascii="Times New Roman" w:hAnsi="Times New Roman" w:cs="Times New Roman"/>
          <w:szCs w:val="24"/>
        </w:rPr>
      </w:pPr>
      <w:r>
        <w:rPr>
          <w:rFonts w:ascii="Times New Roman" w:hAnsi="Times New Roman" w:cs="Times New Roman"/>
          <w:szCs w:val="24"/>
        </w:rPr>
        <w:t xml:space="preserve">Bilet roczny po sprzedaży zostaje wydany w formie tymczasowej, obowiązującej do czasu wydania karty. </w:t>
      </w:r>
      <w:r w:rsidR="00607DD0">
        <w:rPr>
          <w:rFonts w:ascii="Times New Roman" w:hAnsi="Times New Roman" w:cs="Times New Roman"/>
          <w:szCs w:val="24"/>
        </w:rPr>
        <w:t xml:space="preserve">Odbiór </w:t>
      </w:r>
      <w:r w:rsidR="00C74F30">
        <w:rPr>
          <w:rFonts w:ascii="Times New Roman" w:hAnsi="Times New Roman" w:cs="Times New Roman"/>
          <w:szCs w:val="24"/>
        </w:rPr>
        <w:t xml:space="preserve">karty możliwy będzie w </w:t>
      </w:r>
      <w:r w:rsidR="00C74F30">
        <w:rPr>
          <w:rFonts w:ascii="Times New Roman" w:hAnsi="Times New Roman" w:cs="Times New Roman"/>
          <w:b/>
          <w:szCs w:val="24"/>
        </w:rPr>
        <w:t>Kasie Biletowej</w:t>
      </w:r>
      <w:r w:rsidR="009E749A">
        <w:rPr>
          <w:rFonts w:ascii="Times New Roman" w:hAnsi="Times New Roman" w:cs="Times New Roman"/>
          <w:szCs w:val="24"/>
        </w:rPr>
        <w:t>. Osoba zwiedzająca zostanie poinformowana przez Informację Zamku Królewskiego na Wawelu niezwłocznie po wyrobieniu właściwej karty o możliwości odbioru</w:t>
      </w:r>
      <w:r w:rsidR="000D7773">
        <w:rPr>
          <w:rFonts w:ascii="Times New Roman" w:hAnsi="Times New Roman" w:cs="Times New Roman"/>
          <w:szCs w:val="24"/>
        </w:rPr>
        <w:t>.</w:t>
      </w:r>
    </w:p>
    <w:sectPr w:rsidR="001B749A" w:rsidRPr="009E749A" w:rsidSect="008B6442">
      <w:headerReference w:type="even" r:id="rId9"/>
      <w:headerReference w:type="default" r:id="rId10"/>
      <w:footerReference w:type="even" r:id="rId11"/>
      <w:footerReference w:type="default" r:id="rId12"/>
      <w:headerReference w:type="first" r:id="rId13"/>
      <w:footerReference w:type="first" r:id="rId14"/>
      <w:pgSz w:w="11906" w:h="16838"/>
      <w:pgMar w:top="1135" w:right="707" w:bottom="1417" w:left="85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AE7B" w14:textId="77777777" w:rsidR="00D008CE" w:rsidRDefault="00D008CE" w:rsidP="008D7D92">
      <w:pPr>
        <w:spacing w:after="0" w:line="240" w:lineRule="auto"/>
      </w:pPr>
      <w:r>
        <w:separator/>
      </w:r>
    </w:p>
  </w:endnote>
  <w:endnote w:type="continuationSeparator" w:id="0">
    <w:p w14:paraId="7B4697B6" w14:textId="77777777" w:rsidR="00D008CE" w:rsidRDefault="00D008CE" w:rsidP="008D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ECFD" w14:textId="77777777" w:rsidR="008C702F" w:rsidRDefault="008C70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5E7E" w14:textId="77777777" w:rsidR="008C702F" w:rsidRPr="00B11A67" w:rsidRDefault="008C702F" w:rsidP="008C702F">
    <w:pPr>
      <w:pStyle w:val="Tekstpodstawowy"/>
      <w:rPr>
        <w:rFonts w:asciiTheme="majorHAnsi" w:hAnsiTheme="majorHAnsi" w:cstheme="majorHAnsi"/>
        <w:color w:val="000080"/>
        <w:sz w:val="18"/>
        <w:szCs w:val="18"/>
      </w:rPr>
    </w:pPr>
    <w:r w:rsidRPr="00B11A67">
      <w:rPr>
        <w:rFonts w:asciiTheme="majorHAnsi" w:hAnsiTheme="majorHAnsi" w:cstheme="majorHAnsi"/>
        <w:color w:val="000080"/>
        <w:sz w:val="18"/>
        <w:szCs w:val="18"/>
      </w:rPr>
      <w:t>31-001 Kraków, Wawel 5</w:t>
    </w:r>
  </w:p>
  <w:p w14:paraId="05D5DC4C" w14:textId="5FBCBA7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Centrala telefoniczna: 12 422 51 55  |  Kancelaria: tel./fax 12 421 51 77  |  Dyrekcja: tel./fax 12 422 19 50</w:t>
    </w:r>
  </w:p>
  <w:p w14:paraId="21EF3BE9" w14:textId="4D87C66A" w:rsidR="008C702F" w:rsidRPr="00B11A67" w:rsidRDefault="00DD5E9B" w:rsidP="008C702F">
    <w:pPr>
      <w:spacing w:after="0" w:line="240" w:lineRule="auto"/>
      <w:jc w:val="center"/>
      <w:rPr>
        <w:rFonts w:asciiTheme="majorHAnsi" w:hAnsiTheme="majorHAnsi" w:cstheme="majorHAnsi"/>
        <w:color w:val="000080"/>
        <w:sz w:val="18"/>
        <w:szCs w:val="18"/>
      </w:rPr>
    </w:pPr>
    <w:hyperlink r:id="rId1" w:history="1">
      <w:r w:rsidR="008C702F" w:rsidRPr="00B11A67">
        <w:rPr>
          <w:rStyle w:val="Hipercze"/>
          <w:rFonts w:asciiTheme="majorHAnsi" w:hAnsiTheme="majorHAnsi" w:cstheme="majorHAnsi"/>
          <w:sz w:val="18"/>
          <w:szCs w:val="18"/>
        </w:rPr>
        <w:t>zamek@wawelzamek.pl</w:t>
      </w:r>
    </w:hyperlink>
  </w:p>
  <w:p w14:paraId="01828C6B" w14:textId="039A7B4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 xml:space="preserve">Administratorem danych osobowych jest Zamek Królewski na Wawelu - Państwowe Zbiory Sztuki. Pełna treść klauzuli informacyjnej oraz kontakt do Inspektora Danych Osobowych znajduje się na </w:t>
    </w:r>
    <w:hyperlink r:id="rId2" w:history="1">
      <w:r w:rsidR="006A5941" w:rsidRPr="001115C3">
        <w:rPr>
          <w:rStyle w:val="Hipercze"/>
          <w:rFonts w:asciiTheme="majorHAnsi" w:hAnsiTheme="majorHAnsi" w:cstheme="majorHAnsi"/>
          <w:sz w:val="18"/>
          <w:szCs w:val="18"/>
        </w:rPr>
        <w:t>https://wawel.krakow.pl/rodo</w:t>
      </w:r>
    </w:hyperlink>
  </w:p>
  <w:p w14:paraId="64552007" w14:textId="30BAA448" w:rsidR="008C702F" w:rsidRPr="00B11A67" w:rsidRDefault="00DD5E9B" w:rsidP="008C702F">
    <w:pPr>
      <w:spacing w:line="240" w:lineRule="auto"/>
      <w:jc w:val="center"/>
      <w:rPr>
        <w:rFonts w:asciiTheme="majorHAnsi" w:hAnsiTheme="majorHAnsi" w:cstheme="majorHAnsi"/>
        <w:color w:val="000080"/>
        <w:sz w:val="18"/>
        <w:szCs w:val="18"/>
      </w:rPr>
    </w:pPr>
    <w:hyperlink r:id="rId3" w:history="1">
      <w:r w:rsidR="008C702F" w:rsidRPr="00B11A67">
        <w:rPr>
          <w:rStyle w:val="Hipercze"/>
          <w:rFonts w:asciiTheme="majorHAnsi" w:hAnsiTheme="majorHAnsi" w:cstheme="majorHAnsi"/>
          <w:sz w:val="18"/>
          <w:szCs w:val="18"/>
        </w:rPr>
        <w:t>www.wawel.krakow.pl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49F1" w14:textId="77777777" w:rsidR="008C702F" w:rsidRDefault="008C70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8239" w14:textId="77777777" w:rsidR="00D008CE" w:rsidRDefault="00D008CE" w:rsidP="008D7D92">
      <w:pPr>
        <w:spacing w:after="0" w:line="240" w:lineRule="auto"/>
      </w:pPr>
      <w:r>
        <w:separator/>
      </w:r>
    </w:p>
  </w:footnote>
  <w:footnote w:type="continuationSeparator" w:id="0">
    <w:p w14:paraId="6A2953D3" w14:textId="77777777" w:rsidR="00D008CE" w:rsidRDefault="00D008CE" w:rsidP="008D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4E3" w14:textId="77777777" w:rsidR="008C702F" w:rsidRDefault="008C70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33C" w14:textId="4A749A47" w:rsidR="008D7D92" w:rsidRDefault="008D7D92">
    <w:pPr>
      <w:pStyle w:val="Nagwek"/>
    </w:pPr>
    <w:r>
      <w:rPr>
        <w:noProof/>
      </w:rPr>
      <w:drawing>
        <wp:anchor distT="0" distB="0" distL="114300" distR="114300" simplePos="0" relativeHeight="251658240" behindDoc="0" locked="0" layoutInCell="1" allowOverlap="1" wp14:anchorId="3ECF63FC" wp14:editId="74FA2691">
          <wp:simplePos x="0" y="0"/>
          <wp:positionH relativeFrom="margin">
            <wp:align>right</wp:align>
          </wp:positionH>
          <wp:positionV relativeFrom="paragraph">
            <wp:posOffset>-449580</wp:posOffset>
          </wp:positionV>
          <wp:extent cx="548640" cy="1905000"/>
          <wp:effectExtent l="0" t="0" r="381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05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836B" w14:textId="77777777" w:rsidR="008C702F" w:rsidRDefault="008C70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1032"/>
    <w:multiLevelType w:val="hybridMultilevel"/>
    <w:tmpl w:val="EE6AE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33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2"/>
    <w:rsid w:val="00005AE3"/>
    <w:rsid w:val="000D7773"/>
    <w:rsid w:val="001B749A"/>
    <w:rsid w:val="001C1D05"/>
    <w:rsid w:val="003F7B75"/>
    <w:rsid w:val="004023B9"/>
    <w:rsid w:val="004341A2"/>
    <w:rsid w:val="00437B5C"/>
    <w:rsid w:val="004E795B"/>
    <w:rsid w:val="00542B98"/>
    <w:rsid w:val="005A5BC0"/>
    <w:rsid w:val="00607DD0"/>
    <w:rsid w:val="00692A86"/>
    <w:rsid w:val="006A5941"/>
    <w:rsid w:val="00761897"/>
    <w:rsid w:val="00894615"/>
    <w:rsid w:val="008B6442"/>
    <w:rsid w:val="008C702F"/>
    <w:rsid w:val="008D7D92"/>
    <w:rsid w:val="009061CB"/>
    <w:rsid w:val="00951B16"/>
    <w:rsid w:val="009E269C"/>
    <w:rsid w:val="009E749A"/>
    <w:rsid w:val="00B11A67"/>
    <w:rsid w:val="00C21016"/>
    <w:rsid w:val="00C74F30"/>
    <w:rsid w:val="00D008CE"/>
    <w:rsid w:val="00DD5E9B"/>
    <w:rsid w:val="00E0569A"/>
    <w:rsid w:val="00EB34FF"/>
    <w:rsid w:val="00FB4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D54B5"/>
  <w15:chartTrackingRefBased/>
  <w15:docId w15:val="{6551BFCB-F5EB-49CB-B3F6-D85CC00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D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D92"/>
  </w:style>
  <w:style w:type="paragraph" w:styleId="Stopka">
    <w:name w:val="footer"/>
    <w:basedOn w:val="Normalny"/>
    <w:link w:val="StopkaZnak"/>
    <w:uiPriority w:val="99"/>
    <w:unhideWhenUsed/>
    <w:rsid w:val="008D7D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D92"/>
  </w:style>
  <w:style w:type="paragraph" w:styleId="Tekstpodstawowy">
    <w:name w:val="Body Text"/>
    <w:basedOn w:val="Normalny"/>
    <w:link w:val="TekstpodstawowyZnak"/>
    <w:semiHidden/>
    <w:rsid w:val="008C702F"/>
    <w:pPr>
      <w:spacing w:after="0" w:line="240" w:lineRule="auto"/>
      <w:jc w:val="center"/>
    </w:pPr>
    <w:rPr>
      <w:rFonts w:ascii="Book Antiqua" w:eastAsia="Times New Roman" w:hAnsi="Book Antiqua" w:cs="Times New Roman"/>
      <w:sz w:val="16"/>
      <w:szCs w:val="20"/>
      <w:lang w:eastAsia="pl-PL"/>
    </w:rPr>
  </w:style>
  <w:style w:type="character" w:customStyle="1" w:styleId="TekstpodstawowyZnak">
    <w:name w:val="Tekst podstawowy Znak"/>
    <w:basedOn w:val="Domylnaczcionkaakapitu"/>
    <w:link w:val="Tekstpodstawowy"/>
    <w:semiHidden/>
    <w:rsid w:val="008C702F"/>
    <w:rPr>
      <w:rFonts w:ascii="Book Antiqua" w:eastAsia="Times New Roman" w:hAnsi="Book Antiqua" w:cs="Times New Roman"/>
      <w:sz w:val="16"/>
      <w:szCs w:val="20"/>
      <w:lang w:eastAsia="pl-PL"/>
    </w:rPr>
  </w:style>
  <w:style w:type="character" w:styleId="Hipercze">
    <w:name w:val="Hyperlink"/>
    <w:semiHidden/>
    <w:rsid w:val="008C702F"/>
    <w:rPr>
      <w:color w:val="0000FF"/>
      <w:u w:val="single"/>
    </w:rPr>
  </w:style>
  <w:style w:type="character" w:styleId="Nierozpoznanawzmianka">
    <w:name w:val="Unresolved Mention"/>
    <w:basedOn w:val="Domylnaczcionkaakapitu"/>
    <w:uiPriority w:val="99"/>
    <w:semiHidden/>
    <w:unhideWhenUsed/>
    <w:rsid w:val="008C702F"/>
    <w:rPr>
      <w:color w:val="605E5C"/>
      <w:shd w:val="clear" w:color="auto" w:fill="E1DFDD"/>
    </w:rPr>
  </w:style>
  <w:style w:type="paragraph" w:styleId="Akapitzlist">
    <w:name w:val="List Paragraph"/>
    <w:basedOn w:val="Normalny"/>
    <w:uiPriority w:val="34"/>
    <w:qFormat/>
    <w:rsid w:val="00761897"/>
    <w:pPr>
      <w:ind w:left="720"/>
      <w:contextualSpacing/>
    </w:pPr>
  </w:style>
  <w:style w:type="character" w:styleId="Odwoaniedokomentarza">
    <w:name w:val="annotation reference"/>
    <w:basedOn w:val="Domylnaczcionkaakapitu"/>
    <w:uiPriority w:val="99"/>
    <w:semiHidden/>
    <w:unhideWhenUsed/>
    <w:rsid w:val="00FB4A29"/>
    <w:rPr>
      <w:sz w:val="16"/>
      <w:szCs w:val="16"/>
    </w:rPr>
  </w:style>
  <w:style w:type="paragraph" w:styleId="Tekstkomentarza">
    <w:name w:val="annotation text"/>
    <w:basedOn w:val="Normalny"/>
    <w:link w:val="TekstkomentarzaZnak"/>
    <w:uiPriority w:val="99"/>
    <w:semiHidden/>
    <w:unhideWhenUsed/>
    <w:rsid w:val="00FB4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4A29"/>
    <w:rPr>
      <w:sz w:val="20"/>
      <w:szCs w:val="20"/>
    </w:rPr>
  </w:style>
  <w:style w:type="paragraph" w:styleId="Tematkomentarza">
    <w:name w:val="annotation subject"/>
    <w:basedOn w:val="Tekstkomentarza"/>
    <w:next w:val="Tekstkomentarza"/>
    <w:link w:val="TematkomentarzaZnak"/>
    <w:uiPriority w:val="99"/>
    <w:semiHidden/>
    <w:unhideWhenUsed/>
    <w:rsid w:val="00FB4A29"/>
    <w:rPr>
      <w:b/>
      <w:bCs/>
    </w:rPr>
  </w:style>
  <w:style w:type="character" w:customStyle="1" w:styleId="TematkomentarzaZnak">
    <w:name w:val="Temat komentarza Znak"/>
    <w:basedOn w:val="TekstkomentarzaZnak"/>
    <w:link w:val="Tematkomentarza"/>
    <w:uiPriority w:val="99"/>
    <w:semiHidden/>
    <w:rsid w:val="00FB4A29"/>
    <w:rPr>
      <w:b/>
      <w:bCs/>
      <w:sz w:val="20"/>
      <w:szCs w:val="20"/>
    </w:rPr>
  </w:style>
  <w:style w:type="paragraph" w:styleId="Tekstdymka">
    <w:name w:val="Balloon Text"/>
    <w:basedOn w:val="Normalny"/>
    <w:link w:val="TekstdymkaZnak"/>
    <w:uiPriority w:val="99"/>
    <w:semiHidden/>
    <w:unhideWhenUsed/>
    <w:rsid w:val="00FB4A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wel.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wawel.krakow.pl/" TargetMode="External"/><Relationship Id="rId2" Type="http://schemas.openxmlformats.org/officeDocument/2006/relationships/hyperlink" Target="https://wawel.krakow.pl/rodo" TargetMode="External"/><Relationship Id="rId1" Type="http://schemas.openxmlformats.org/officeDocument/2006/relationships/hyperlink" Target="mailto:zamek@wawelzame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FEB2-4BA4-412A-9843-52D45F1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Józefina Wiśniewska</dc:creator>
  <cp:keywords/>
  <dc:description/>
  <cp:lastModifiedBy>Aleksandra Schoen-Żmijowa</cp:lastModifiedBy>
  <cp:revision>2</cp:revision>
  <dcterms:created xsi:type="dcterms:W3CDTF">2024-02-13T11:11:00Z</dcterms:created>
  <dcterms:modified xsi:type="dcterms:W3CDTF">2024-02-13T11:11:00Z</dcterms:modified>
</cp:coreProperties>
</file>