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029B" w14:textId="368FAF45" w:rsidR="00AF0DFA" w:rsidRDefault="00AF0DFA" w:rsidP="00E353D7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MALARZ RZYMSKIEJ CODZIENNOŚCI</w:t>
      </w:r>
    </w:p>
    <w:p w14:paraId="5C7252F9" w14:textId="77777777" w:rsidR="00AF0DFA" w:rsidRDefault="00AF0DFA" w:rsidP="00E353D7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</w:p>
    <w:p w14:paraId="6C1DA002" w14:textId="0C44BE23" w:rsidR="009232BD" w:rsidRPr="000516FF" w:rsidRDefault="009232BD" w:rsidP="00E353D7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0516FF">
        <w:rPr>
          <w:rFonts w:ascii="Book Antiqua" w:hAnsi="Book Antiqua"/>
          <w:b/>
          <w:bCs/>
          <w:sz w:val="32"/>
          <w:szCs w:val="32"/>
        </w:rPr>
        <w:t>„Oko malarza. Tadeusz Kuntze (1727–1793)”</w:t>
      </w:r>
    </w:p>
    <w:p w14:paraId="1B96FE6B" w14:textId="77777777" w:rsidR="00E353D7" w:rsidRDefault="009232BD" w:rsidP="00E353D7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0516FF">
        <w:rPr>
          <w:rFonts w:ascii="Book Antiqua" w:hAnsi="Book Antiqua"/>
          <w:b/>
          <w:bCs/>
          <w:sz w:val="32"/>
          <w:szCs w:val="32"/>
        </w:rPr>
        <w:t xml:space="preserve">Zamek Królewski na Wawelu </w:t>
      </w:r>
    </w:p>
    <w:p w14:paraId="47905567" w14:textId="505D0509" w:rsidR="009232BD" w:rsidRPr="000516FF" w:rsidRDefault="009232BD" w:rsidP="00E353D7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0516FF">
        <w:rPr>
          <w:rFonts w:ascii="Book Antiqua" w:hAnsi="Book Antiqua"/>
          <w:b/>
          <w:bCs/>
          <w:sz w:val="32"/>
          <w:szCs w:val="32"/>
        </w:rPr>
        <w:t>zaprasza na</w:t>
      </w:r>
    </w:p>
    <w:p w14:paraId="072920D2" w14:textId="77777777" w:rsidR="009232BD" w:rsidRPr="000516FF" w:rsidRDefault="009232BD" w:rsidP="00E353D7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największą</w:t>
      </w:r>
      <w:r w:rsidRPr="000516FF">
        <w:rPr>
          <w:rFonts w:ascii="Book Antiqua" w:hAnsi="Book Antiqua"/>
          <w:b/>
          <w:bCs/>
          <w:sz w:val="32"/>
          <w:szCs w:val="32"/>
        </w:rPr>
        <w:t xml:space="preserve"> w historii wystawę </w:t>
      </w:r>
      <w:r>
        <w:rPr>
          <w:rFonts w:ascii="Book Antiqua" w:hAnsi="Book Antiqua"/>
          <w:b/>
          <w:bCs/>
          <w:sz w:val="32"/>
          <w:szCs w:val="32"/>
        </w:rPr>
        <w:t>tego twórcy</w:t>
      </w:r>
    </w:p>
    <w:p w14:paraId="4FDCC7F1" w14:textId="77777777" w:rsidR="009232BD" w:rsidRDefault="009232BD" w:rsidP="009232BD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</w:p>
    <w:p w14:paraId="63EF5678" w14:textId="77777777" w:rsidR="009232BD" w:rsidRPr="004429A5" w:rsidRDefault="009232BD" w:rsidP="007A574D">
      <w:pPr>
        <w:spacing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4429A5">
        <w:rPr>
          <w:rFonts w:ascii="Book Antiqua" w:hAnsi="Book Antiqua"/>
          <w:b/>
          <w:bCs/>
          <w:sz w:val="23"/>
          <w:szCs w:val="23"/>
        </w:rPr>
        <w:t xml:space="preserve">Jego imponujące dzieła zdobią m.in. rzymskie kościoły San </w:t>
      </w:r>
      <w:proofErr w:type="spellStart"/>
      <w:r w:rsidRPr="004429A5">
        <w:rPr>
          <w:rFonts w:ascii="Book Antiqua" w:hAnsi="Book Antiqua"/>
          <w:b/>
          <w:bCs/>
          <w:sz w:val="23"/>
          <w:szCs w:val="23"/>
        </w:rPr>
        <w:t>Stanislao</w:t>
      </w:r>
      <w:proofErr w:type="spellEnd"/>
      <w:r w:rsidRPr="004429A5">
        <w:rPr>
          <w:rFonts w:ascii="Book Antiqua" w:hAnsi="Book Antiqua"/>
          <w:b/>
          <w:bCs/>
          <w:sz w:val="23"/>
          <w:szCs w:val="23"/>
        </w:rPr>
        <w:t xml:space="preserve"> dei </w:t>
      </w:r>
      <w:proofErr w:type="spellStart"/>
      <w:r w:rsidRPr="004429A5">
        <w:rPr>
          <w:rFonts w:ascii="Book Antiqua" w:hAnsi="Book Antiqua"/>
          <w:b/>
          <w:bCs/>
          <w:sz w:val="23"/>
          <w:szCs w:val="23"/>
        </w:rPr>
        <w:t>Polacchi</w:t>
      </w:r>
      <w:proofErr w:type="spellEnd"/>
      <w:r w:rsidRPr="004429A5">
        <w:rPr>
          <w:rFonts w:ascii="Book Antiqua" w:hAnsi="Book Antiqua"/>
          <w:b/>
          <w:bCs/>
          <w:sz w:val="23"/>
          <w:szCs w:val="23"/>
        </w:rPr>
        <w:t xml:space="preserve">, Santa Lucia </w:t>
      </w:r>
      <w:proofErr w:type="spellStart"/>
      <w:r w:rsidRPr="004429A5">
        <w:rPr>
          <w:rFonts w:ascii="Book Antiqua" w:hAnsi="Book Antiqua"/>
          <w:b/>
          <w:bCs/>
          <w:sz w:val="23"/>
          <w:szCs w:val="23"/>
        </w:rPr>
        <w:t>della</w:t>
      </w:r>
      <w:proofErr w:type="spellEnd"/>
      <w:r w:rsidRPr="004429A5">
        <w:rPr>
          <w:rFonts w:ascii="Book Antiqua" w:hAnsi="Book Antiqua"/>
          <w:b/>
          <w:bCs/>
          <w:sz w:val="23"/>
          <w:szCs w:val="23"/>
        </w:rPr>
        <w:t xml:space="preserve"> Tinta, wnętrza </w:t>
      </w:r>
      <w:proofErr w:type="spellStart"/>
      <w:r w:rsidRPr="004429A5">
        <w:rPr>
          <w:rFonts w:ascii="Book Antiqua" w:hAnsi="Book Antiqua"/>
          <w:b/>
          <w:bCs/>
          <w:sz w:val="23"/>
          <w:szCs w:val="23"/>
        </w:rPr>
        <w:t>Palazzo</w:t>
      </w:r>
      <w:proofErr w:type="spellEnd"/>
      <w:r w:rsidRPr="004429A5">
        <w:rPr>
          <w:rFonts w:ascii="Book Antiqua" w:hAnsi="Book Antiqua"/>
          <w:b/>
          <w:bCs/>
          <w:sz w:val="23"/>
          <w:szCs w:val="23"/>
        </w:rPr>
        <w:t xml:space="preserve"> Bonaparte czy Villi </w:t>
      </w:r>
      <w:proofErr w:type="spellStart"/>
      <w:r w:rsidRPr="004429A5">
        <w:rPr>
          <w:rFonts w:ascii="Book Antiqua" w:hAnsi="Book Antiqua"/>
          <w:b/>
          <w:bCs/>
          <w:sz w:val="23"/>
          <w:szCs w:val="23"/>
        </w:rPr>
        <w:t>Borghese</w:t>
      </w:r>
      <w:proofErr w:type="spellEnd"/>
      <w:r w:rsidRPr="004429A5">
        <w:rPr>
          <w:rFonts w:ascii="Book Antiqua" w:hAnsi="Book Antiqua"/>
          <w:b/>
          <w:bCs/>
          <w:sz w:val="23"/>
          <w:szCs w:val="23"/>
        </w:rPr>
        <w:t xml:space="preserve"> oraz liczne kościoły w Lacjum. Stanowią one dowód wszechstronności artysty, który z taką samą wprawą wykonywał obrazy sztalugowe, malowidła monumentalne oraz niewielkie elementy dekoracyjne. Zamek Królewski na Wawelu przedstawia twórczość </w:t>
      </w:r>
      <w:r w:rsidRPr="004429A5">
        <w:rPr>
          <w:rFonts w:ascii="Book Antiqua" w:hAnsi="Book Antiqua"/>
          <w:b/>
          <w:bCs/>
          <w:color w:val="4472C4" w:themeColor="accent1"/>
          <w:sz w:val="23"/>
          <w:szCs w:val="23"/>
        </w:rPr>
        <w:t xml:space="preserve">TADEUSZA KUNTZEGO </w:t>
      </w:r>
      <w:r w:rsidRPr="004429A5">
        <w:rPr>
          <w:rFonts w:ascii="Book Antiqua" w:hAnsi="Book Antiqua"/>
          <w:b/>
          <w:bCs/>
          <w:sz w:val="23"/>
          <w:szCs w:val="23"/>
        </w:rPr>
        <w:t>– jednego z najbardziej znaczących malarzy  pracujących dla polskich zleceniodawców w drugiej połowie XVIII wieku. </w:t>
      </w:r>
      <w:r w:rsidRPr="004429A5">
        <w:rPr>
          <w:rFonts w:ascii="Book Antiqua" w:hAnsi="Book Antiqua" w:cs="Times New Roman"/>
          <w:b/>
          <w:bCs/>
          <w:color w:val="4472C4" w:themeColor="accent1"/>
          <w:sz w:val="23"/>
          <w:szCs w:val="23"/>
        </w:rPr>
        <w:t xml:space="preserve">„Oko malarza. Tadeusz Kuntze (1727–1793)” </w:t>
      </w:r>
      <w:r w:rsidRPr="004429A5">
        <w:rPr>
          <w:rFonts w:ascii="Book Antiqua" w:hAnsi="Book Antiqua"/>
          <w:b/>
          <w:bCs/>
          <w:sz w:val="23"/>
          <w:szCs w:val="23"/>
        </w:rPr>
        <w:t xml:space="preserve">to trzecia wystawa na Wawelu z cyklu studyjnych ekspozycji odkrywających nieznane lub mało znane oblicze sztuki w Rzeczypospolitej, po prezentacjach dorobku Andrzeja Radwańskiego (2021) oraz Jacoba </w:t>
      </w:r>
      <w:proofErr w:type="spellStart"/>
      <w:r w:rsidRPr="004429A5">
        <w:rPr>
          <w:rFonts w:ascii="Book Antiqua" w:hAnsi="Book Antiqua"/>
          <w:b/>
          <w:bCs/>
          <w:sz w:val="23"/>
          <w:szCs w:val="23"/>
        </w:rPr>
        <w:t>Mertensa</w:t>
      </w:r>
      <w:proofErr w:type="spellEnd"/>
      <w:r w:rsidRPr="004429A5">
        <w:rPr>
          <w:rFonts w:ascii="Book Antiqua" w:hAnsi="Book Antiqua"/>
          <w:b/>
          <w:bCs/>
          <w:sz w:val="23"/>
          <w:szCs w:val="23"/>
        </w:rPr>
        <w:t xml:space="preserve"> (2023). </w:t>
      </w:r>
    </w:p>
    <w:p w14:paraId="24FCAC72" w14:textId="0652CF9F" w:rsidR="005919F9" w:rsidRPr="004429A5" w:rsidRDefault="009232BD" w:rsidP="007A574D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 xml:space="preserve">– </w:t>
      </w:r>
      <w:r w:rsidR="005919F9" w:rsidRPr="004429A5">
        <w:rPr>
          <w:rFonts w:ascii="Book Antiqua" w:hAnsi="Book Antiqua"/>
          <w:i/>
          <w:iCs/>
          <w:sz w:val="23"/>
          <w:szCs w:val="23"/>
        </w:rPr>
        <w:t xml:space="preserve">Wystawa ukazuje nam, że mamy do czynienia z artystą wszechstronnym, tworzącym dzieła różnorodne,  pracującym na zlecenia najbardziej znaczących mecenasów </w:t>
      </w:r>
      <w:r w:rsidR="00F001D5" w:rsidRPr="004429A5">
        <w:rPr>
          <w:rFonts w:ascii="Book Antiqua" w:hAnsi="Book Antiqua"/>
          <w:i/>
          <w:iCs/>
          <w:sz w:val="23"/>
          <w:szCs w:val="23"/>
        </w:rPr>
        <w:t>R</w:t>
      </w:r>
      <w:r w:rsidR="005919F9" w:rsidRPr="004429A5">
        <w:rPr>
          <w:rFonts w:ascii="Book Antiqua" w:hAnsi="Book Antiqua"/>
          <w:i/>
          <w:iCs/>
          <w:sz w:val="23"/>
          <w:szCs w:val="23"/>
        </w:rPr>
        <w:t>zeczypospolitej, a co istotne obdarzonym również wyjątkową wrażliwością „reporterską”, o czym możemy się przekonać oglądając na wystawie szkice rzymskie. Warto podkreślić, że to ich pierwszy publiczny pokaz</w:t>
      </w:r>
      <w:r w:rsidR="005919F9" w:rsidRPr="004429A5">
        <w:rPr>
          <w:rFonts w:ascii="Book Antiqua" w:hAnsi="Book Antiqua"/>
          <w:sz w:val="23"/>
          <w:szCs w:val="23"/>
        </w:rPr>
        <w:t xml:space="preserve"> – mówi </w:t>
      </w:r>
      <w:r w:rsidR="005919F9" w:rsidRPr="004429A5">
        <w:rPr>
          <w:rFonts w:ascii="Book Antiqua" w:hAnsi="Book Antiqua"/>
          <w:b/>
          <w:bCs/>
          <w:sz w:val="23"/>
          <w:szCs w:val="23"/>
        </w:rPr>
        <w:t>prof. dr hab. Andrzej Betlej</w:t>
      </w:r>
      <w:r w:rsidR="005919F9" w:rsidRPr="004429A5">
        <w:rPr>
          <w:rFonts w:ascii="Book Antiqua" w:hAnsi="Book Antiqua"/>
          <w:sz w:val="23"/>
          <w:szCs w:val="23"/>
        </w:rPr>
        <w:t>, dyrektor Zamku Królewskiego na Wawelu.</w:t>
      </w:r>
    </w:p>
    <w:p w14:paraId="6FD52557" w14:textId="2C6A005B" w:rsidR="009232BD" w:rsidRDefault="009232BD" w:rsidP="007A574D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 xml:space="preserve">Ekspozycja jest </w:t>
      </w:r>
      <w:r w:rsidR="004D3972" w:rsidRPr="004429A5">
        <w:rPr>
          <w:rFonts w:ascii="Book Antiqua" w:hAnsi="Book Antiqua"/>
          <w:sz w:val="23"/>
          <w:szCs w:val="23"/>
        </w:rPr>
        <w:t xml:space="preserve">także </w:t>
      </w:r>
      <w:r w:rsidRPr="004429A5">
        <w:rPr>
          <w:rFonts w:ascii="Book Antiqua" w:hAnsi="Book Antiqua"/>
          <w:sz w:val="23"/>
          <w:szCs w:val="23"/>
        </w:rPr>
        <w:t xml:space="preserve">pierwszą tak wielką wystawą poświęconą temu niezwykłemu twórcy. </w:t>
      </w:r>
      <w:r w:rsidR="005919F9" w:rsidRPr="004429A5">
        <w:rPr>
          <w:rFonts w:ascii="Book Antiqua" w:hAnsi="Book Antiqua"/>
          <w:sz w:val="23"/>
          <w:szCs w:val="23"/>
        </w:rPr>
        <w:t>Kuratorki po</w:t>
      </w:r>
      <w:r w:rsidRPr="004429A5">
        <w:rPr>
          <w:rFonts w:ascii="Book Antiqua" w:hAnsi="Book Antiqua"/>
          <w:sz w:val="23"/>
          <w:szCs w:val="23"/>
        </w:rPr>
        <w:t>łoży</w:t>
      </w:r>
      <w:r w:rsidR="005919F9" w:rsidRPr="004429A5">
        <w:rPr>
          <w:rFonts w:ascii="Book Antiqua" w:hAnsi="Book Antiqua"/>
          <w:sz w:val="23"/>
          <w:szCs w:val="23"/>
        </w:rPr>
        <w:t>ły</w:t>
      </w:r>
      <w:r w:rsidRPr="004429A5">
        <w:rPr>
          <w:rFonts w:ascii="Book Antiqua" w:hAnsi="Book Antiqua"/>
          <w:sz w:val="23"/>
          <w:szCs w:val="23"/>
        </w:rPr>
        <w:t xml:space="preserve"> w niej nacisk na ukazanie warsztatu artystycznego Kuntzego. Wśród prezentowanych dzieł znalazły się zarówno jego prace malarskie, jak i rysunki oraz gwasze, które przybliżą publiczności sam sposób wykonywania przez niego dzieł oraz wprowadzają do zagadnień związanych z praktyką malarską artystów, którzy swoją edukację odbywali w Wiecznym Mieście</w:t>
      </w:r>
      <w:r w:rsidR="005919F9" w:rsidRPr="004429A5">
        <w:rPr>
          <w:rFonts w:ascii="Book Antiqua" w:hAnsi="Book Antiqua"/>
          <w:sz w:val="23"/>
          <w:szCs w:val="23"/>
        </w:rPr>
        <w:t>.</w:t>
      </w:r>
      <w:r w:rsidRPr="004429A5">
        <w:rPr>
          <w:rFonts w:ascii="Book Antiqua" w:hAnsi="Book Antiqua"/>
          <w:sz w:val="23"/>
          <w:szCs w:val="23"/>
        </w:rPr>
        <w:t xml:space="preserve"> </w:t>
      </w:r>
    </w:p>
    <w:p w14:paraId="4C460508" w14:textId="77777777" w:rsidR="004429A5" w:rsidRPr="004429A5" w:rsidRDefault="004429A5" w:rsidP="007A574D">
      <w:pPr>
        <w:spacing w:line="240" w:lineRule="auto"/>
        <w:jc w:val="both"/>
        <w:rPr>
          <w:rFonts w:ascii="Book Antiqua" w:hAnsi="Book Antiqua"/>
          <w:sz w:val="23"/>
          <w:szCs w:val="23"/>
        </w:rPr>
      </w:pPr>
    </w:p>
    <w:p w14:paraId="41768429" w14:textId="5BAF199B" w:rsidR="00414443" w:rsidRPr="004429A5" w:rsidRDefault="00414443" w:rsidP="007A574D">
      <w:pPr>
        <w:spacing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4429A5">
        <w:rPr>
          <w:rFonts w:ascii="Book Antiqua" w:hAnsi="Book Antiqua"/>
          <w:b/>
          <w:bCs/>
          <w:sz w:val="23"/>
          <w:szCs w:val="23"/>
        </w:rPr>
        <w:lastRenderedPageBreak/>
        <w:t>AUTOPORTRET</w:t>
      </w:r>
    </w:p>
    <w:p w14:paraId="5F065C16" w14:textId="77777777" w:rsidR="009232BD" w:rsidRPr="004429A5" w:rsidRDefault="009232BD" w:rsidP="007A574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 xml:space="preserve">Urodzony w 1727 roku w Zielonej Górze malarz został objęty szczególną opieką przez biskupa Andrzeja Stanisława Kostkę Załuskiego, który wysłał go do Rzymu, gdzie młodzieniec pobierał nauki w Akademii Francuskiej, pracowni malarza Ludovica </w:t>
      </w:r>
      <w:proofErr w:type="spellStart"/>
      <w:r w:rsidRPr="004429A5">
        <w:rPr>
          <w:rFonts w:ascii="Book Antiqua" w:hAnsi="Book Antiqua"/>
          <w:sz w:val="23"/>
          <w:szCs w:val="23"/>
        </w:rPr>
        <w:t>Mazzantiego</w:t>
      </w:r>
      <w:proofErr w:type="spellEnd"/>
      <w:r w:rsidRPr="004429A5">
        <w:rPr>
          <w:rFonts w:ascii="Book Antiqua" w:hAnsi="Book Antiqua"/>
          <w:sz w:val="23"/>
          <w:szCs w:val="23"/>
        </w:rPr>
        <w:t xml:space="preserve"> oraz w </w:t>
      </w:r>
      <w:proofErr w:type="spellStart"/>
      <w:r w:rsidRPr="004429A5">
        <w:rPr>
          <w:rFonts w:ascii="Book Antiqua" w:hAnsi="Book Antiqua"/>
          <w:sz w:val="23"/>
          <w:szCs w:val="23"/>
        </w:rPr>
        <w:t>Scuola</w:t>
      </w:r>
      <w:proofErr w:type="spellEnd"/>
      <w:r w:rsidRPr="004429A5">
        <w:rPr>
          <w:rFonts w:ascii="Book Antiqua" w:hAnsi="Book Antiqua"/>
          <w:sz w:val="23"/>
          <w:szCs w:val="23"/>
        </w:rPr>
        <w:t xml:space="preserve"> del Nudo na Kapitolu. Przyjmuje się, że artysta powrócił do Krakowa ok. 1757 roku, by zaledwie dwa lata później, po śmierci dobroczyńcy, już na stałe opuścić Rzeczpospolitą. Zarówno podczas pobytu w kraju, jak i w trakcie nauki oraz późniejszej pracy w Rzymie Kuntze wykonał szereg dzieł malarskich oraz rysunkowych, z których jedynie mała część znajduje się w Polsce, a zdecydowana większość zdobi włoskie kościoły Lacjum.</w:t>
      </w:r>
    </w:p>
    <w:p w14:paraId="38D9A6E1" w14:textId="77777777" w:rsidR="008B0C97" w:rsidRPr="004429A5" w:rsidRDefault="008B0C97" w:rsidP="007A574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12079DF9" w14:textId="77777777" w:rsidR="009232BD" w:rsidRPr="004429A5" w:rsidRDefault="009232BD" w:rsidP="007A574D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>Tytułowe „oko malarza”, jak podkreślają kuratorki Natalia Koziara-</w:t>
      </w:r>
      <w:proofErr w:type="spellStart"/>
      <w:r w:rsidRPr="004429A5">
        <w:rPr>
          <w:rFonts w:ascii="Book Antiqua" w:hAnsi="Book Antiqua"/>
          <w:sz w:val="23"/>
          <w:szCs w:val="23"/>
        </w:rPr>
        <w:t>Ochęduszko</w:t>
      </w:r>
      <w:proofErr w:type="spellEnd"/>
      <w:r w:rsidRPr="004429A5">
        <w:rPr>
          <w:rFonts w:ascii="Book Antiqua" w:hAnsi="Book Antiqua"/>
          <w:sz w:val="23"/>
          <w:szCs w:val="23"/>
        </w:rPr>
        <w:t xml:space="preserve"> i Katarzyna Chrzanowska, ma nas poprowadzić przez inspiracje, które artysta czerpał z otaczającego świata – życia mieszkańców Rzymu, a także nowej sztuki – rokokowej i klasycystycznej, które wiodły prym w podczas jego wieloletniej praktyki artystycznej. </w:t>
      </w:r>
    </w:p>
    <w:p w14:paraId="4944151A" w14:textId="77777777" w:rsidR="009232BD" w:rsidRPr="004429A5" w:rsidRDefault="009232BD" w:rsidP="007A574D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 xml:space="preserve">– </w:t>
      </w:r>
      <w:r w:rsidRPr="004429A5">
        <w:rPr>
          <w:rFonts w:ascii="Book Antiqua" w:hAnsi="Book Antiqua"/>
          <w:i/>
          <w:iCs/>
          <w:sz w:val="23"/>
          <w:szCs w:val="23"/>
        </w:rPr>
        <w:t>Ekspozycję otwiera rysunkowy autoportret artysty, zestawiony z fotografią zaginionego gwaszu, który powstał na podstawie tego właśnie rysunku. Zestawienie to sygnalizuje już na wstępie najważniejszy problem poruszony na wystawie, czyli przenikanie się technik w praktyce warsztatowej mistrza</w:t>
      </w:r>
      <w:r w:rsidRPr="004429A5">
        <w:rPr>
          <w:rFonts w:ascii="Book Antiqua" w:hAnsi="Book Antiqua"/>
          <w:sz w:val="23"/>
          <w:szCs w:val="23"/>
        </w:rPr>
        <w:t xml:space="preserve"> – mówi </w:t>
      </w:r>
      <w:r w:rsidRPr="004429A5">
        <w:rPr>
          <w:rFonts w:ascii="Book Antiqua" w:hAnsi="Book Antiqua"/>
          <w:b/>
          <w:bCs/>
          <w:sz w:val="23"/>
          <w:szCs w:val="23"/>
        </w:rPr>
        <w:t>Natalia Koziara-</w:t>
      </w:r>
      <w:proofErr w:type="spellStart"/>
      <w:r w:rsidRPr="004429A5">
        <w:rPr>
          <w:rFonts w:ascii="Book Antiqua" w:hAnsi="Book Antiqua"/>
          <w:b/>
          <w:bCs/>
          <w:sz w:val="23"/>
          <w:szCs w:val="23"/>
        </w:rPr>
        <w:t>Ochęduszko</w:t>
      </w:r>
      <w:proofErr w:type="spellEnd"/>
      <w:r w:rsidRPr="004429A5">
        <w:rPr>
          <w:rFonts w:ascii="Book Antiqua" w:hAnsi="Book Antiqua"/>
          <w:sz w:val="23"/>
          <w:szCs w:val="23"/>
        </w:rPr>
        <w:t xml:space="preserve">, </w:t>
      </w:r>
      <w:proofErr w:type="spellStart"/>
      <w:r w:rsidRPr="004429A5">
        <w:rPr>
          <w:rFonts w:ascii="Book Antiqua" w:hAnsi="Book Antiqua"/>
          <w:sz w:val="23"/>
          <w:szCs w:val="23"/>
        </w:rPr>
        <w:t>współkuratorka</w:t>
      </w:r>
      <w:proofErr w:type="spellEnd"/>
      <w:r w:rsidRPr="004429A5">
        <w:rPr>
          <w:rFonts w:ascii="Book Antiqua" w:hAnsi="Book Antiqua"/>
          <w:sz w:val="23"/>
          <w:szCs w:val="23"/>
        </w:rPr>
        <w:t xml:space="preserve"> ekspozycji, kustosz Zamku Królewskiego na Wawelu i kierownik Działu Badań Dziejów Wawelu.</w:t>
      </w:r>
    </w:p>
    <w:p w14:paraId="53EA5066" w14:textId="77777777" w:rsidR="009232BD" w:rsidRPr="004429A5" w:rsidRDefault="009232BD" w:rsidP="007A574D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>Zwiedzając wystawę, poznamy prace związane z nauką i pierwszym pobytem Kuntzego w Rzymie – głównie dzieła malarskie, portrety i kompozycje alegoryczne. Przybliżą one sposób kształcenia młodych artystów w Wiecznym Mieście w XVIII wieku. Nauka w akademii opierała się wówczas na rysowaniu rzeźb i nagich modeli oraz kopiowaniu wybitnych dzieł malarstwa.</w:t>
      </w:r>
    </w:p>
    <w:p w14:paraId="3263838A" w14:textId="14BE26B0" w:rsidR="007C4DC2" w:rsidRPr="004429A5" w:rsidRDefault="007C4DC2" w:rsidP="007C4DC2">
      <w:pPr>
        <w:spacing w:line="360" w:lineRule="auto"/>
        <w:rPr>
          <w:rFonts w:ascii="Book Antiqua" w:hAnsi="Book Antiqua"/>
          <w:b/>
          <w:bCs/>
          <w:sz w:val="23"/>
          <w:szCs w:val="23"/>
        </w:rPr>
      </w:pPr>
      <w:r w:rsidRPr="004429A5">
        <w:rPr>
          <w:rFonts w:ascii="Book Antiqua" w:hAnsi="Book Antiqua"/>
          <w:b/>
          <w:bCs/>
          <w:sz w:val="23"/>
          <w:szCs w:val="23"/>
        </w:rPr>
        <w:t>REPORTERSKIE WĘDRÓWKI PO XVIII-WIECZNYM RZYMIE</w:t>
      </w:r>
    </w:p>
    <w:p w14:paraId="33175A5F" w14:textId="77777777" w:rsidR="009232BD" w:rsidRPr="004429A5" w:rsidRDefault="009232BD" w:rsidP="007A574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 xml:space="preserve">Największą część eksponowanych obiektów stanowią rysunki i gwasze pokazujące życie arystokracji i wyższego duchowieństwa – m.in. dam i dostojników spotykających się w ogrodach Villi </w:t>
      </w:r>
      <w:proofErr w:type="spellStart"/>
      <w:r w:rsidRPr="004429A5">
        <w:rPr>
          <w:rFonts w:ascii="Book Antiqua" w:hAnsi="Book Antiqua"/>
          <w:sz w:val="23"/>
          <w:szCs w:val="23"/>
        </w:rPr>
        <w:t>Borghese</w:t>
      </w:r>
      <w:proofErr w:type="spellEnd"/>
      <w:r w:rsidRPr="004429A5">
        <w:rPr>
          <w:rFonts w:ascii="Book Antiqua" w:hAnsi="Book Antiqua"/>
          <w:sz w:val="23"/>
          <w:szCs w:val="23"/>
        </w:rPr>
        <w:t xml:space="preserve"> i podczas przyjęć organizowanych w pałacach. Są jednak również dzieła prezentujące codzienność biedniejszych mieszkańców Rzymu i rolników z Gór Albańskich – sprzedawców warzyw i owoców, kobiet w strojach regionalnych, golibrody czy uczestników rzymskiego karnawału na Via del Corso. – </w:t>
      </w:r>
      <w:r w:rsidRPr="004429A5">
        <w:rPr>
          <w:rFonts w:ascii="Book Antiqua" w:hAnsi="Book Antiqua"/>
          <w:i/>
          <w:iCs/>
          <w:sz w:val="23"/>
          <w:szCs w:val="23"/>
        </w:rPr>
        <w:t>Za ich pośrednictwem, niczym okiem malarza, śledzimy jego rzymskie wędrówki. Obiekty stanowią dowód wręcz reporterskiego spojrzenia na otaczający artystę świat</w:t>
      </w:r>
      <w:r w:rsidRPr="004429A5">
        <w:rPr>
          <w:rFonts w:ascii="Book Antiqua" w:hAnsi="Book Antiqua"/>
          <w:sz w:val="23"/>
          <w:szCs w:val="23"/>
        </w:rPr>
        <w:t xml:space="preserve"> – mówi </w:t>
      </w:r>
      <w:r w:rsidRPr="004429A5">
        <w:rPr>
          <w:rFonts w:ascii="Book Antiqua" w:hAnsi="Book Antiqua"/>
          <w:b/>
          <w:bCs/>
          <w:sz w:val="23"/>
          <w:szCs w:val="23"/>
        </w:rPr>
        <w:t>Katarzyna Chrzanowska</w:t>
      </w:r>
      <w:r w:rsidRPr="004429A5">
        <w:rPr>
          <w:rFonts w:ascii="Book Antiqua" w:hAnsi="Book Antiqua"/>
          <w:sz w:val="23"/>
          <w:szCs w:val="23"/>
        </w:rPr>
        <w:t xml:space="preserve">, </w:t>
      </w:r>
      <w:proofErr w:type="spellStart"/>
      <w:r w:rsidRPr="004429A5">
        <w:rPr>
          <w:rFonts w:ascii="Book Antiqua" w:hAnsi="Book Antiqua"/>
          <w:sz w:val="23"/>
          <w:szCs w:val="23"/>
        </w:rPr>
        <w:t>współkuratorka</w:t>
      </w:r>
      <w:proofErr w:type="spellEnd"/>
      <w:r w:rsidRPr="004429A5">
        <w:rPr>
          <w:rFonts w:ascii="Book Antiqua" w:hAnsi="Book Antiqua"/>
          <w:sz w:val="23"/>
          <w:szCs w:val="23"/>
        </w:rPr>
        <w:t>, historyczka sztuki związana z Instytutem Sztuki PAN.</w:t>
      </w:r>
    </w:p>
    <w:p w14:paraId="5613A262" w14:textId="77777777" w:rsidR="00C65EE9" w:rsidRPr="004429A5" w:rsidRDefault="00C65EE9" w:rsidP="007A574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21F2BA0B" w14:textId="77777777" w:rsidR="009232BD" w:rsidRPr="004429A5" w:rsidRDefault="009232BD" w:rsidP="007A574D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 xml:space="preserve">Na szczególną uwagę zasługują dzieła religijne Kuntzego: obrazy, </w:t>
      </w:r>
      <w:proofErr w:type="spellStart"/>
      <w:r w:rsidRPr="004429A5">
        <w:rPr>
          <w:rFonts w:ascii="Book Antiqua" w:hAnsi="Book Antiqua"/>
          <w:sz w:val="23"/>
          <w:szCs w:val="23"/>
        </w:rPr>
        <w:t>modella</w:t>
      </w:r>
      <w:proofErr w:type="spellEnd"/>
      <w:r w:rsidRPr="004429A5">
        <w:rPr>
          <w:rFonts w:ascii="Book Antiqua" w:hAnsi="Book Antiqua"/>
          <w:sz w:val="23"/>
          <w:szCs w:val="23"/>
        </w:rPr>
        <w:t xml:space="preserve"> i rysunki. Odbiorcy staną przed interesującymi dziełami koncepcyjnymi. – </w:t>
      </w:r>
      <w:r w:rsidRPr="004429A5">
        <w:rPr>
          <w:rFonts w:ascii="Book Antiqua" w:hAnsi="Book Antiqua"/>
          <w:i/>
          <w:iCs/>
          <w:sz w:val="23"/>
          <w:szCs w:val="23"/>
        </w:rPr>
        <w:t xml:space="preserve">Wyjątkowe w tym </w:t>
      </w:r>
      <w:r w:rsidRPr="004429A5">
        <w:rPr>
          <w:rFonts w:ascii="Book Antiqua" w:hAnsi="Book Antiqua"/>
          <w:i/>
          <w:iCs/>
          <w:sz w:val="23"/>
          <w:szCs w:val="23"/>
        </w:rPr>
        <w:lastRenderedPageBreak/>
        <w:t xml:space="preserve">kontekście jest </w:t>
      </w:r>
      <w:proofErr w:type="spellStart"/>
      <w:r w:rsidRPr="004429A5">
        <w:rPr>
          <w:rFonts w:ascii="Book Antiqua" w:hAnsi="Book Antiqua"/>
          <w:i/>
          <w:iCs/>
          <w:sz w:val="23"/>
          <w:szCs w:val="23"/>
        </w:rPr>
        <w:t>modello</w:t>
      </w:r>
      <w:proofErr w:type="spellEnd"/>
      <w:r w:rsidRPr="004429A5">
        <w:rPr>
          <w:rFonts w:ascii="Book Antiqua" w:hAnsi="Book Antiqua"/>
          <w:i/>
          <w:iCs/>
          <w:sz w:val="23"/>
          <w:szCs w:val="23"/>
        </w:rPr>
        <w:t xml:space="preserve"> „Rozmnożenie chleba i ryb”, a także zestawienie  przedstawień „Cud św. Jana Kantego”. Prezentacja pierwszego z tych dzieł da możliwość zapoznania się z jednym z etapów przygotowawczych do wykonania przedstawiającego tę scenę malowidła na ścianie refektarza klasztoru Augustianów w </w:t>
      </w:r>
      <w:proofErr w:type="spellStart"/>
      <w:r w:rsidRPr="004429A5">
        <w:rPr>
          <w:rFonts w:ascii="Book Antiqua" w:hAnsi="Book Antiqua"/>
          <w:i/>
          <w:iCs/>
          <w:sz w:val="23"/>
          <w:szCs w:val="23"/>
        </w:rPr>
        <w:t>Genazzano</w:t>
      </w:r>
      <w:proofErr w:type="spellEnd"/>
      <w:r w:rsidRPr="004429A5">
        <w:rPr>
          <w:rFonts w:ascii="Book Antiqua" w:hAnsi="Book Antiqua"/>
          <w:i/>
          <w:iCs/>
          <w:sz w:val="23"/>
          <w:szCs w:val="23"/>
        </w:rPr>
        <w:t>. Zestawienie w bezpośrednim sąsiedztwie dwóch płócien ukazujących ten sam temat – epizod z żywota krakowskiego świętego profesora – podkreśli występujące w twórczości Kuntzego zjawisko powtarzania tych samych kompozycji w kolejnych dziełach. Malarz wprowadzał niekiedy jedynie niewielkie zmiany, dostosowując obrazy do konkretnych wymagań zleceniodawców</w:t>
      </w:r>
      <w:r w:rsidRPr="004429A5">
        <w:rPr>
          <w:rFonts w:ascii="Book Antiqua" w:hAnsi="Book Antiqua"/>
          <w:sz w:val="23"/>
          <w:szCs w:val="23"/>
        </w:rPr>
        <w:t xml:space="preserve"> – dodaje Katarzyna Chrzanowska. </w:t>
      </w:r>
    </w:p>
    <w:p w14:paraId="77D7EF11" w14:textId="77777777" w:rsidR="009232BD" w:rsidRPr="004429A5" w:rsidRDefault="009232BD" w:rsidP="007A574D">
      <w:pPr>
        <w:spacing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4429A5">
        <w:rPr>
          <w:rFonts w:ascii="Book Antiqua" w:hAnsi="Book Antiqua"/>
          <w:b/>
          <w:bCs/>
          <w:sz w:val="23"/>
          <w:szCs w:val="23"/>
        </w:rPr>
        <w:t>W WARSZTACIE MISTRZA</w:t>
      </w:r>
    </w:p>
    <w:p w14:paraId="31FB4C6C" w14:textId="77777777" w:rsidR="009232BD" w:rsidRPr="004429A5" w:rsidRDefault="009232BD" w:rsidP="007A574D">
      <w:pPr>
        <w:spacing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 xml:space="preserve">Kuratorki postanowiły również zgłębić wątek zaginionych gwaszy Tadeusza Kuntzego wykonanych w Rzymie, utrwalonych na fotografiach z kolekcji hr. Aleksandra Szeptyckiego w Łabuniach. Kolekcja ta, do której należała większość gwaszy prezentowanych na wystawie, obejmowała barwne prace uwieczniające sceny z życia różnych grup mieszkańców Wiecznego Miasta oraz okolicznych terenów. Wśród nich na szczególną uwagę zasługują dzieła oparte na szkicach i rysunkach tuszem prezentowanych w ramach wystawy. – </w:t>
      </w:r>
      <w:r w:rsidRPr="004429A5">
        <w:rPr>
          <w:rFonts w:ascii="Book Antiqua" w:hAnsi="Book Antiqua"/>
          <w:i/>
          <w:iCs/>
          <w:sz w:val="23"/>
          <w:szCs w:val="23"/>
        </w:rPr>
        <w:t>Widz zyska możliwość prześledzenia procesu wypracowywania kompozycji przez Kuntzego, począwszy od szkiców ołówkiem, niekiedy przedstawiających kilka wariantów danego elementu, przez podkreślenie finalnego układu sceny pociągnięciami tuszu, aż po jej przedstawienie w malarskiej technice gwaszu</w:t>
      </w:r>
      <w:r w:rsidRPr="004429A5">
        <w:rPr>
          <w:rFonts w:ascii="Book Antiqua" w:hAnsi="Book Antiqua"/>
          <w:sz w:val="23"/>
          <w:szCs w:val="23"/>
        </w:rPr>
        <w:t xml:space="preserve"> – opisuje Katarzyna Chrzanowska.</w:t>
      </w:r>
    </w:p>
    <w:p w14:paraId="10AF9EC8" w14:textId="77777777" w:rsidR="009232BD" w:rsidRPr="004429A5" w:rsidRDefault="009232BD" w:rsidP="007A574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4429A5">
        <w:rPr>
          <w:rFonts w:ascii="Book Antiqua" w:hAnsi="Book Antiqua"/>
          <w:sz w:val="23"/>
          <w:szCs w:val="23"/>
        </w:rPr>
        <w:t xml:space="preserve">Zwiedzając wystawę, odniesiemy wrażenie przebywania w warsztacie wybitnego malarza. Kuratorki nie tylko przybliżają nabywane przez niego umiejętności, ale też  przedstawiają niezwykle interesującą ewolucję procesu twórczego, widoczną w prezentowanych dziełach sztuki. – </w:t>
      </w:r>
      <w:r w:rsidRPr="004429A5">
        <w:rPr>
          <w:rFonts w:ascii="Book Antiqua" w:hAnsi="Book Antiqua"/>
          <w:i/>
          <w:iCs/>
          <w:sz w:val="23"/>
          <w:szCs w:val="23"/>
        </w:rPr>
        <w:t>Najważniejsze w tym kontekście pozostaje traktowanie przez Kuntzego rysunku jako punktu wyjścia do innych realizacji, wykonywanych już w pracowni mala</w:t>
      </w:r>
      <w:r w:rsidRPr="004429A5">
        <w:rPr>
          <w:rFonts w:ascii="Book Antiqua" w:hAnsi="Book Antiqua"/>
          <w:sz w:val="23"/>
          <w:szCs w:val="23"/>
        </w:rPr>
        <w:t>rza – podkreśla Natalia Koziara-</w:t>
      </w:r>
      <w:proofErr w:type="spellStart"/>
      <w:r w:rsidRPr="004429A5">
        <w:rPr>
          <w:rFonts w:ascii="Book Antiqua" w:hAnsi="Book Antiqua"/>
          <w:sz w:val="23"/>
          <w:szCs w:val="23"/>
        </w:rPr>
        <w:t>Ochęduszko</w:t>
      </w:r>
      <w:proofErr w:type="spellEnd"/>
      <w:r w:rsidRPr="004429A5">
        <w:rPr>
          <w:rFonts w:ascii="Book Antiqua" w:hAnsi="Book Antiqua"/>
          <w:sz w:val="23"/>
          <w:szCs w:val="23"/>
        </w:rPr>
        <w:t>.</w:t>
      </w:r>
    </w:p>
    <w:p w14:paraId="3C6B2670" w14:textId="77777777" w:rsidR="009232BD" w:rsidRDefault="009232BD" w:rsidP="007A57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5AE70F9" w14:textId="77777777" w:rsidR="009232BD" w:rsidRDefault="009232BD" w:rsidP="007A574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A557D">
        <w:rPr>
          <w:rFonts w:ascii="Book Antiqua" w:hAnsi="Book Antiqua"/>
          <w:sz w:val="20"/>
          <w:szCs w:val="20"/>
        </w:rPr>
        <w:t>Opr. Urszula Wolak-Dudek</w:t>
      </w:r>
    </w:p>
    <w:p w14:paraId="53E4E380" w14:textId="77777777" w:rsidR="004429A5" w:rsidRDefault="004429A5" w:rsidP="007A574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6D3FE987" w14:textId="77777777" w:rsidR="004429A5" w:rsidRDefault="004429A5" w:rsidP="007A574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2E496ECF" w14:textId="77777777" w:rsidR="004429A5" w:rsidRDefault="004429A5" w:rsidP="007A574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1CDBD379" w14:textId="77777777" w:rsidR="004429A5" w:rsidRDefault="004429A5" w:rsidP="007A574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690C62F8" w14:textId="77777777" w:rsidR="004429A5" w:rsidRDefault="004429A5" w:rsidP="007A574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28842D1B" w14:textId="77777777" w:rsidR="004429A5" w:rsidRDefault="004429A5" w:rsidP="007A574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4DA33299" w14:textId="06002A6B" w:rsidR="004429A5" w:rsidRPr="00EA557D" w:rsidRDefault="004429A5" w:rsidP="007A574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4F6801B8" wp14:editId="71C334D4">
            <wp:extent cx="5760720" cy="716915"/>
            <wp:effectExtent l="0" t="0" r="0" b="6985"/>
            <wp:docPr id="265044781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44781" name="Obraz 1" descr="Obraz zawierający tekst, zrzut ekranu, Czcion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63B7A" w14:textId="77777777" w:rsidR="00C21016" w:rsidRDefault="00C21016" w:rsidP="007A574D">
      <w:pPr>
        <w:spacing w:line="240" w:lineRule="auto"/>
        <w:jc w:val="both"/>
      </w:pPr>
    </w:p>
    <w:sectPr w:rsidR="00C21016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4342" w14:textId="77777777" w:rsidR="00EA4A0A" w:rsidRDefault="00EA4A0A" w:rsidP="008D7D92">
      <w:pPr>
        <w:spacing w:after="0" w:line="240" w:lineRule="auto"/>
      </w:pPr>
      <w:r>
        <w:separator/>
      </w:r>
    </w:p>
  </w:endnote>
  <w:endnote w:type="continuationSeparator" w:id="0">
    <w:p w14:paraId="6E67444E" w14:textId="77777777" w:rsidR="00EA4A0A" w:rsidRDefault="00EA4A0A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8C702F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A5101" w14:textId="77777777" w:rsidR="00EA4A0A" w:rsidRDefault="00EA4A0A" w:rsidP="008D7D92">
      <w:pPr>
        <w:spacing w:after="0" w:line="240" w:lineRule="auto"/>
      </w:pPr>
      <w:r>
        <w:separator/>
      </w:r>
    </w:p>
  </w:footnote>
  <w:footnote w:type="continuationSeparator" w:id="0">
    <w:p w14:paraId="3CDE8660" w14:textId="77777777" w:rsidR="00EA4A0A" w:rsidRDefault="00EA4A0A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836B" w14:textId="77777777" w:rsidR="008C702F" w:rsidRDefault="008C70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91541"/>
    <w:rsid w:val="00414443"/>
    <w:rsid w:val="004429A5"/>
    <w:rsid w:val="00470B87"/>
    <w:rsid w:val="004D3972"/>
    <w:rsid w:val="005005F3"/>
    <w:rsid w:val="005919F9"/>
    <w:rsid w:val="005A40AC"/>
    <w:rsid w:val="006A5941"/>
    <w:rsid w:val="007A574D"/>
    <w:rsid w:val="007C4DC2"/>
    <w:rsid w:val="00831B67"/>
    <w:rsid w:val="008B0C97"/>
    <w:rsid w:val="008C702F"/>
    <w:rsid w:val="008D7D92"/>
    <w:rsid w:val="009232BD"/>
    <w:rsid w:val="009E269C"/>
    <w:rsid w:val="00A26977"/>
    <w:rsid w:val="00AF02A5"/>
    <w:rsid w:val="00AF0DFA"/>
    <w:rsid w:val="00B11A67"/>
    <w:rsid w:val="00C21016"/>
    <w:rsid w:val="00C65EE9"/>
    <w:rsid w:val="00D01BBE"/>
    <w:rsid w:val="00E0569A"/>
    <w:rsid w:val="00E353D7"/>
    <w:rsid w:val="00EA4A0A"/>
    <w:rsid w:val="00EA557D"/>
    <w:rsid w:val="00F001D5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2BD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2BD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18</cp:revision>
  <dcterms:created xsi:type="dcterms:W3CDTF">2022-05-19T17:31:00Z</dcterms:created>
  <dcterms:modified xsi:type="dcterms:W3CDTF">2024-11-26T13:01:00Z</dcterms:modified>
</cp:coreProperties>
</file>