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FE03" w14:textId="77777777" w:rsidR="007D597C" w:rsidRDefault="007D597C" w:rsidP="007D597C">
      <w:pPr>
        <w:jc w:val="both"/>
        <w:rPr>
          <w:rFonts w:ascii="Book Antiqua" w:hAnsi="Book Antiqua"/>
          <w:sz w:val="24"/>
          <w:szCs w:val="24"/>
        </w:rPr>
      </w:pPr>
    </w:p>
    <w:p w14:paraId="2A5ECA8B" w14:textId="77777777" w:rsidR="007D597C" w:rsidRDefault="007D597C" w:rsidP="007D597C">
      <w:pPr>
        <w:pStyle w:val="NormalnyWeb"/>
        <w:shd w:val="clear" w:color="auto" w:fill="FFFFFF"/>
        <w:spacing w:before="0" w:beforeAutospacing="0" w:after="0" w:afterAutospacing="0"/>
        <w:rPr>
          <w:rFonts w:ascii="Book Antiqua" w:hAnsi="Book Antiqua" w:cs="Calibri"/>
          <w:b/>
          <w:bCs/>
          <w:color w:val="242424"/>
          <w:sz w:val="20"/>
          <w:szCs w:val="20"/>
        </w:rPr>
      </w:pPr>
      <w:r>
        <w:rPr>
          <w:rFonts w:ascii="Book Antiqua" w:hAnsi="Book Antiqua" w:cs="Calibri"/>
          <w:b/>
          <w:bCs/>
          <w:color w:val="242424"/>
          <w:sz w:val="20"/>
          <w:szCs w:val="20"/>
          <w:bdr w:val="none" w:sz="0" w:space="0" w:color="auto" w:frame="1"/>
        </w:rPr>
        <w:t>Jan Matejko, Hołd pruski, szkic, 1874</w:t>
      </w:r>
    </w:p>
    <w:p w14:paraId="118D0134" w14:textId="77777777" w:rsidR="007D597C" w:rsidRDefault="007D597C" w:rsidP="007D597C">
      <w:pPr>
        <w:pStyle w:val="NormalnyWeb"/>
        <w:shd w:val="clear" w:color="auto" w:fill="FFFFFF"/>
        <w:spacing w:before="0" w:beforeAutospacing="0" w:after="0" w:afterAutospacing="0"/>
        <w:rPr>
          <w:rFonts w:ascii="Book Antiqua" w:hAnsi="Book Antiqua" w:cs="Calibri"/>
          <w:b/>
          <w:bCs/>
          <w:color w:val="242424"/>
          <w:sz w:val="20"/>
          <w:szCs w:val="20"/>
        </w:rPr>
      </w:pPr>
      <w:r>
        <w:rPr>
          <w:rFonts w:ascii="Book Antiqua" w:hAnsi="Book Antiqua" w:cs="Calibri"/>
          <w:b/>
          <w:bCs/>
          <w:color w:val="242424"/>
          <w:sz w:val="20"/>
          <w:szCs w:val="20"/>
          <w:bdr w:val="none" w:sz="0" w:space="0" w:color="auto" w:frame="1"/>
        </w:rPr>
        <w:t>Sygnowany: </w:t>
      </w:r>
      <w:r>
        <w:rPr>
          <w:rFonts w:ascii="Book Antiqua" w:hAnsi="Book Antiqua" w:cs="Calibri"/>
          <w:b/>
          <w:bCs/>
          <w:i/>
          <w:iCs/>
          <w:color w:val="242424"/>
          <w:sz w:val="20"/>
          <w:szCs w:val="20"/>
          <w:bdr w:val="none" w:sz="0" w:space="0" w:color="auto" w:frame="1"/>
        </w:rPr>
        <w:t>MJ 1874</w:t>
      </w:r>
    </w:p>
    <w:p w14:paraId="6973DF09" w14:textId="77777777" w:rsidR="007D597C" w:rsidRDefault="007D597C" w:rsidP="007D597C">
      <w:pPr>
        <w:pStyle w:val="NormalnyWeb"/>
        <w:shd w:val="clear" w:color="auto" w:fill="FFFFFF"/>
        <w:spacing w:before="0" w:beforeAutospacing="0" w:after="0" w:afterAutospacing="0"/>
        <w:rPr>
          <w:rFonts w:ascii="Book Antiqua" w:hAnsi="Book Antiqua" w:cs="Calibri"/>
          <w:b/>
          <w:bCs/>
          <w:color w:val="242424"/>
          <w:sz w:val="20"/>
          <w:szCs w:val="20"/>
        </w:rPr>
      </w:pPr>
      <w:r>
        <w:rPr>
          <w:rFonts w:ascii="Book Antiqua" w:hAnsi="Book Antiqua" w:cs="Calibri"/>
          <w:b/>
          <w:bCs/>
          <w:color w:val="242424"/>
          <w:sz w:val="20"/>
          <w:szCs w:val="20"/>
          <w:bdr w:val="none" w:sz="0" w:space="0" w:color="auto" w:frame="1"/>
        </w:rPr>
        <w:t>wymiar: 37 x 76 cm</w:t>
      </w:r>
    </w:p>
    <w:p w14:paraId="1D40507C" w14:textId="77777777" w:rsidR="007D597C" w:rsidRDefault="007D597C" w:rsidP="007D597C">
      <w:pPr>
        <w:pStyle w:val="NormalnyWeb"/>
        <w:shd w:val="clear" w:color="auto" w:fill="FFFFFF"/>
        <w:spacing w:before="0" w:beforeAutospacing="0" w:after="0" w:afterAutospacing="0"/>
        <w:rPr>
          <w:rFonts w:ascii="Book Antiqua" w:hAnsi="Book Antiqua" w:cs="Calibri"/>
          <w:b/>
          <w:bCs/>
          <w:color w:val="242424"/>
          <w:sz w:val="20"/>
          <w:szCs w:val="20"/>
        </w:rPr>
      </w:pPr>
      <w:r>
        <w:rPr>
          <w:rFonts w:ascii="Book Antiqua" w:hAnsi="Book Antiqua" w:cs="Calibri"/>
          <w:b/>
          <w:bCs/>
          <w:color w:val="242424"/>
          <w:sz w:val="20"/>
          <w:szCs w:val="20"/>
          <w:bdr w:val="none" w:sz="0" w:space="0" w:color="auto" w:frame="1"/>
        </w:rPr>
        <w:t>technika: olej na desce</w:t>
      </w:r>
    </w:p>
    <w:p w14:paraId="475C7452" w14:textId="77777777" w:rsidR="007D597C" w:rsidRDefault="007D597C" w:rsidP="007D597C">
      <w:pPr>
        <w:pStyle w:val="NormalnyWeb"/>
        <w:shd w:val="clear" w:color="auto" w:fill="FFFFFF"/>
        <w:spacing w:before="0" w:beforeAutospacing="0" w:after="0" w:afterAutospacing="0"/>
        <w:rPr>
          <w:rFonts w:ascii="Book Antiqua" w:hAnsi="Book Antiqua" w:cs="Calibri"/>
          <w:b/>
          <w:bCs/>
          <w:color w:val="242424"/>
          <w:sz w:val="20"/>
          <w:szCs w:val="20"/>
        </w:rPr>
      </w:pPr>
      <w:r>
        <w:rPr>
          <w:rFonts w:ascii="Book Antiqua" w:hAnsi="Book Antiqua" w:cs="Calibri"/>
          <w:b/>
          <w:bCs/>
          <w:color w:val="242424"/>
          <w:sz w:val="20"/>
          <w:szCs w:val="20"/>
          <w:bdr w:val="none" w:sz="0" w:space="0" w:color="auto" w:frame="1"/>
        </w:rPr>
        <w:t>własność: prywatna</w:t>
      </w:r>
    </w:p>
    <w:p w14:paraId="0A2E3974" w14:textId="77777777" w:rsidR="007D597C" w:rsidRDefault="007D597C" w:rsidP="007D597C">
      <w:pPr>
        <w:jc w:val="both"/>
        <w:rPr>
          <w:rFonts w:ascii="Book Antiqua" w:hAnsi="Book Antiqua"/>
          <w:sz w:val="24"/>
          <w:szCs w:val="24"/>
        </w:rPr>
      </w:pPr>
    </w:p>
    <w:p w14:paraId="72848F54" w14:textId="74C8FC89" w:rsidR="007D597C" w:rsidRDefault="007D597C" w:rsidP="007D597C">
      <w:pPr>
        <w:jc w:val="both"/>
        <w:rPr>
          <w:rFonts w:ascii="Book Antiqua" w:hAnsi="Book Antiqua"/>
          <w:b/>
          <w:bCs/>
          <w:sz w:val="24"/>
          <w:szCs w:val="24"/>
        </w:rPr>
      </w:pPr>
      <w:r>
        <w:rPr>
          <w:rFonts w:ascii="Book Antiqua" w:hAnsi="Book Antiqua"/>
          <w:sz w:val="24"/>
          <w:szCs w:val="24"/>
        </w:rPr>
        <w:t xml:space="preserve">Obraz </w:t>
      </w:r>
      <w:r w:rsidRPr="007D597C">
        <w:rPr>
          <w:rFonts w:ascii="Book Antiqua" w:hAnsi="Book Antiqua"/>
          <w:i/>
          <w:iCs/>
          <w:sz w:val="24"/>
          <w:szCs w:val="24"/>
        </w:rPr>
        <w:t>Hołd pruski</w:t>
      </w:r>
      <w:r>
        <w:rPr>
          <w:rFonts w:ascii="Book Antiqua" w:hAnsi="Book Antiqua"/>
          <w:sz w:val="24"/>
          <w:szCs w:val="24"/>
        </w:rPr>
        <w:t xml:space="preserve"> został namalowany przez Jana Matejkę w latach 1879 – 1882. Olejny szkic dzieła powstał jednak już w 1874 roku i w 1881 roku został zaprezentowany podczas wizyty cesarza Franciszka Józefa I w pracowni malarza. Praca następnie trafiła do prywatnego kolekcjonera i w jego rodzinie pozostaje do dziś. </w:t>
      </w:r>
      <w:r>
        <w:rPr>
          <w:rFonts w:ascii="Book Antiqua" w:hAnsi="Book Antiqua"/>
          <w:b/>
          <w:bCs/>
          <w:sz w:val="24"/>
          <w:szCs w:val="24"/>
        </w:rPr>
        <w:t>Po 149 latach po raz pierwszy w historii Zamek Królewski na Wawelu pragnie przedstawić szerokiej publiczności wyjątkowe dzieło malarza. To wydarzenie sensacyjne. Nieczęsto mamy bowiem możliwość oglądać tak cenne artefakty pozwalające poznać tajniki warsztatu wybitnego twórcy. Wawelski pokaz szkicu zainaugur</w:t>
      </w:r>
      <w:r w:rsidR="00967022">
        <w:rPr>
          <w:rFonts w:ascii="Book Antiqua" w:hAnsi="Book Antiqua"/>
          <w:b/>
          <w:bCs/>
          <w:sz w:val="24"/>
          <w:szCs w:val="24"/>
        </w:rPr>
        <w:t>ował</w:t>
      </w:r>
      <w:r>
        <w:rPr>
          <w:rFonts w:ascii="Book Antiqua" w:hAnsi="Book Antiqua"/>
          <w:b/>
          <w:bCs/>
          <w:sz w:val="24"/>
          <w:szCs w:val="24"/>
        </w:rPr>
        <w:t xml:space="preserve"> przypadający w 2023 Rok Jana Matejki.</w:t>
      </w:r>
    </w:p>
    <w:p w14:paraId="627B8C57" w14:textId="0EB127B6" w:rsidR="007D597C" w:rsidRDefault="007D597C" w:rsidP="007D597C">
      <w:pPr>
        <w:jc w:val="both"/>
        <w:rPr>
          <w:rFonts w:ascii="Book Antiqua" w:hAnsi="Book Antiqua"/>
          <w:sz w:val="24"/>
          <w:szCs w:val="24"/>
        </w:rPr>
      </w:pPr>
      <w:r>
        <w:rPr>
          <w:rFonts w:ascii="Book Antiqua" w:hAnsi="Book Antiqua"/>
          <w:sz w:val="24"/>
          <w:szCs w:val="24"/>
        </w:rPr>
        <w:t xml:space="preserve">Eksponowany szkic zaprasza do odkrywania różnic i podobieństw z obrazem. Jest nieco skromniejszą wersją dzieła, które obecnie można podziwiać jako depozyt </w:t>
      </w:r>
      <w:r w:rsidR="00174002">
        <w:rPr>
          <w:rFonts w:ascii="Book Antiqua" w:hAnsi="Book Antiqua"/>
          <w:sz w:val="24"/>
          <w:szCs w:val="24"/>
        </w:rPr>
        <w:t>Zamk</w:t>
      </w:r>
      <w:r w:rsidR="00B15908">
        <w:rPr>
          <w:rFonts w:ascii="Book Antiqua" w:hAnsi="Book Antiqua"/>
          <w:sz w:val="24"/>
          <w:szCs w:val="24"/>
        </w:rPr>
        <w:t xml:space="preserve">u Królewskiego na Wawelu </w:t>
      </w:r>
      <w:r>
        <w:rPr>
          <w:rFonts w:ascii="Book Antiqua" w:hAnsi="Book Antiqua"/>
          <w:sz w:val="24"/>
          <w:szCs w:val="24"/>
        </w:rPr>
        <w:t xml:space="preserve">w Muzeum Narodowym w Krakowie. Kompozycja jest mniej tłumna, brak też wielu elementów, jakie znalazły się w dziele ostatecznym: królowej Bony i postaci w </w:t>
      </w:r>
      <w:proofErr w:type="spellStart"/>
      <w:r>
        <w:rPr>
          <w:rFonts w:ascii="Book Antiqua" w:hAnsi="Book Antiqua"/>
          <w:sz w:val="24"/>
          <w:szCs w:val="24"/>
        </w:rPr>
        <w:t>loggi</w:t>
      </w:r>
      <w:proofErr w:type="spellEnd"/>
      <w:r>
        <w:rPr>
          <w:rFonts w:ascii="Book Antiqua" w:hAnsi="Book Antiqua"/>
          <w:sz w:val="24"/>
          <w:szCs w:val="24"/>
        </w:rPr>
        <w:t xml:space="preserve"> Sukiennic. Inaczej został przedstawiony także Stańczyk, który jest bardziej zatopiony w refleksji. </w:t>
      </w:r>
    </w:p>
    <w:p w14:paraId="38C3C524" w14:textId="53154581" w:rsidR="007D597C" w:rsidRDefault="007D597C" w:rsidP="007D597C">
      <w:pPr>
        <w:jc w:val="both"/>
        <w:rPr>
          <w:rFonts w:ascii="Book Antiqua" w:hAnsi="Book Antiqua"/>
          <w:sz w:val="24"/>
          <w:szCs w:val="24"/>
        </w:rPr>
      </w:pPr>
      <w:r>
        <w:rPr>
          <w:rFonts w:ascii="Book Antiqua" w:hAnsi="Book Antiqua"/>
          <w:sz w:val="24"/>
          <w:szCs w:val="24"/>
        </w:rPr>
        <w:t xml:space="preserve">Po raz pierwszy publicznie pokazano dzieło w maju 1882 roku w Sukiennicach. </w:t>
      </w:r>
      <w:r w:rsidR="00017955">
        <w:rPr>
          <w:rFonts w:ascii="Book Antiqua" w:hAnsi="Book Antiqua"/>
          <w:sz w:val="24"/>
          <w:szCs w:val="24"/>
        </w:rPr>
        <w:br/>
      </w:r>
      <w:r>
        <w:rPr>
          <w:rFonts w:ascii="Book Antiqua" w:hAnsi="Book Antiqua"/>
          <w:sz w:val="24"/>
          <w:szCs w:val="24"/>
        </w:rPr>
        <w:t xml:space="preserve">7 października 1882 artysta ofiarował </w:t>
      </w:r>
      <w:r w:rsidRPr="003B6946">
        <w:rPr>
          <w:rFonts w:ascii="Book Antiqua" w:hAnsi="Book Antiqua"/>
          <w:i/>
          <w:iCs/>
          <w:sz w:val="24"/>
          <w:szCs w:val="24"/>
        </w:rPr>
        <w:t>Hołd pruski</w:t>
      </w:r>
      <w:r>
        <w:rPr>
          <w:rFonts w:ascii="Book Antiqua" w:hAnsi="Book Antiqua"/>
          <w:sz w:val="24"/>
          <w:szCs w:val="24"/>
        </w:rPr>
        <w:t xml:space="preserve"> narodowi „na przyozdobienie jednej z </w:t>
      </w:r>
      <w:proofErr w:type="spellStart"/>
      <w:r>
        <w:rPr>
          <w:rFonts w:ascii="Book Antiqua" w:hAnsi="Book Antiqua"/>
          <w:sz w:val="24"/>
          <w:szCs w:val="24"/>
        </w:rPr>
        <w:t>sal</w:t>
      </w:r>
      <w:proofErr w:type="spellEnd"/>
      <w:r>
        <w:rPr>
          <w:rFonts w:ascii="Book Antiqua" w:hAnsi="Book Antiqua"/>
          <w:sz w:val="24"/>
          <w:szCs w:val="24"/>
        </w:rPr>
        <w:t xml:space="preserve"> Zamku Królewskiego na Wawelu, mającego być restaurowanym”. Obraz został przekazany w depozyt Muzeum Narodowemu w Krakowie do czasu odnowienia </w:t>
      </w:r>
      <w:r w:rsidR="00017955">
        <w:rPr>
          <w:rFonts w:ascii="Book Antiqua" w:hAnsi="Book Antiqua"/>
          <w:sz w:val="24"/>
          <w:szCs w:val="24"/>
        </w:rPr>
        <w:t xml:space="preserve">wawelskich </w:t>
      </w:r>
      <w:r>
        <w:rPr>
          <w:rFonts w:ascii="Book Antiqua" w:hAnsi="Book Antiqua"/>
          <w:sz w:val="24"/>
          <w:szCs w:val="24"/>
        </w:rPr>
        <w:t>wnętrz. W latach trzydziestych ubiegłego wieku Adolf Szyszko-Bohusz przygotował projekt urządzenia Sali Senatorskiej, gdzie obraz miał być eksponowany. Ostatecznie jednak pozostał jako depozyt w M</w:t>
      </w:r>
      <w:r w:rsidR="00B15908">
        <w:rPr>
          <w:rFonts w:ascii="Book Antiqua" w:hAnsi="Book Antiqua"/>
          <w:sz w:val="24"/>
          <w:szCs w:val="24"/>
        </w:rPr>
        <w:t xml:space="preserve">uzeum </w:t>
      </w:r>
      <w:r>
        <w:rPr>
          <w:rFonts w:ascii="Book Antiqua" w:hAnsi="Book Antiqua"/>
          <w:sz w:val="24"/>
          <w:szCs w:val="24"/>
        </w:rPr>
        <w:t>N</w:t>
      </w:r>
      <w:r w:rsidR="00B15908">
        <w:rPr>
          <w:rFonts w:ascii="Book Antiqua" w:hAnsi="Book Antiqua"/>
          <w:sz w:val="24"/>
          <w:szCs w:val="24"/>
        </w:rPr>
        <w:t xml:space="preserve">arodowym w </w:t>
      </w:r>
      <w:r>
        <w:rPr>
          <w:rFonts w:ascii="Book Antiqua" w:hAnsi="Book Antiqua"/>
          <w:sz w:val="24"/>
          <w:szCs w:val="24"/>
        </w:rPr>
        <w:t>K</w:t>
      </w:r>
      <w:r w:rsidR="00B15908">
        <w:rPr>
          <w:rFonts w:ascii="Book Antiqua" w:hAnsi="Book Antiqua"/>
          <w:sz w:val="24"/>
          <w:szCs w:val="24"/>
        </w:rPr>
        <w:t>rakowie</w:t>
      </w:r>
      <w:r>
        <w:rPr>
          <w:rFonts w:ascii="Book Antiqua" w:hAnsi="Book Antiqua"/>
          <w:sz w:val="24"/>
          <w:szCs w:val="24"/>
        </w:rPr>
        <w:t>.</w:t>
      </w:r>
    </w:p>
    <w:p w14:paraId="3BFC70EF" w14:textId="77777777" w:rsidR="00017955" w:rsidRDefault="00017955" w:rsidP="007D597C">
      <w:pPr>
        <w:jc w:val="both"/>
        <w:rPr>
          <w:rFonts w:ascii="Book Antiqua" w:hAnsi="Book Antiqua"/>
          <w:sz w:val="20"/>
          <w:szCs w:val="20"/>
        </w:rPr>
      </w:pPr>
    </w:p>
    <w:p w14:paraId="3C1F4700" w14:textId="77777777" w:rsidR="00017955" w:rsidRDefault="00017955" w:rsidP="007D597C">
      <w:pPr>
        <w:jc w:val="both"/>
        <w:rPr>
          <w:rFonts w:ascii="Book Antiqua" w:hAnsi="Book Antiqua"/>
          <w:sz w:val="20"/>
          <w:szCs w:val="20"/>
        </w:rPr>
      </w:pPr>
    </w:p>
    <w:p w14:paraId="496EC042" w14:textId="5E85551E" w:rsidR="007D597C" w:rsidRPr="00017955" w:rsidRDefault="007D597C" w:rsidP="007D597C">
      <w:pPr>
        <w:jc w:val="both"/>
        <w:rPr>
          <w:rFonts w:ascii="Book Antiqua" w:hAnsi="Book Antiqua"/>
          <w:sz w:val="20"/>
          <w:szCs w:val="20"/>
        </w:rPr>
      </w:pPr>
      <w:r w:rsidRPr="00017955">
        <w:rPr>
          <w:rFonts w:ascii="Book Antiqua" w:hAnsi="Book Antiqua"/>
          <w:sz w:val="20"/>
          <w:szCs w:val="20"/>
        </w:rPr>
        <w:t xml:space="preserve">Literatura: Kazimierz </w:t>
      </w:r>
      <w:proofErr w:type="spellStart"/>
      <w:r w:rsidRPr="00017955">
        <w:rPr>
          <w:rFonts w:ascii="Book Antiqua" w:hAnsi="Book Antiqua"/>
          <w:sz w:val="20"/>
          <w:szCs w:val="20"/>
        </w:rPr>
        <w:t>Kuczman</w:t>
      </w:r>
      <w:proofErr w:type="spellEnd"/>
      <w:r w:rsidRPr="00017955">
        <w:rPr>
          <w:rFonts w:ascii="Book Antiqua" w:hAnsi="Book Antiqua"/>
          <w:sz w:val="20"/>
          <w:szCs w:val="20"/>
        </w:rPr>
        <w:t xml:space="preserve">, </w:t>
      </w:r>
      <w:r w:rsidRPr="00017955">
        <w:rPr>
          <w:rFonts w:ascii="Book Antiqua" w:hAnsi="Book Antiqua"/>
          <w:i/>
          <w:iCs/>
          <w:sz w:val="20"/>
          <w:szCs w:val="20"/>
        </w:rPr>
        <w:t>Renesans w Hołdzie pruskim</w:t>
      </w:r>
      <w:r w:rsidRPr="00017955">
        <w:rPr>
          <w:rFonts w:ascii="Book Antiqua" w:hAnsi="Book Antiqua"/>
          <w:sz w:val="20"/>
          <w:szCs w:val="20"/>
        </w:rPr>
        <w:t xml:space="preserve">, [w:] </w:t>
      </w:r>
      <w:r w:rsidRPr="00017955">
        <w:rPr>
          <w:rFonts w:ascii="Book Antiqua" w:hAnsi="Book Antiqua"/>
          <w:i/>
          <w:iCs/>
          <w:sz w:val="20"/>
          <w:szCs w:val="20"/>
        </w:rPr>
        <w:t>Hołd pruski. Matejko Wawelowi – Wawel Matejce. Wystawa w związku z pokazem dzieła Jana Matejki na Wawelu 2008-2009</w:t>
      </w:r>
      <w:r w:rsidRPr="00017955">
        <w:rPr>
          <w:rFonts w:ascii="Book Antiqua" w:hAnsi="Book Antiqua"/>
          <w:sz w:val="20"/>
          <w:szCs w:val="20"/>
        </w:rPr>
        <w:t>, Kraków 2009, s. 103.</w:t>
      </w:r>
    </w:p>
    <w:p w14:paraId="21563B7A" w14:textId="77777777" w:rsidR="00C21016" w:rsidRDefault="00C21016"/>
    <w:sectPr w:rsidR="00C21016" w:rsidSect="008C70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37FB" w14:textId="77777777" w:rsidR="00264348" w:rsidRDefault="00264348" w:rsidP="008D7D92">
      <w:pPr>
        <w:spacing w:after="0" w:line="240" w:lineRule="auto"/>
      </w:pPr>
      <w:r>
        <w:separator/>
      </w:r>
    </w:p>
  </w:endnote>
  <w:endnote w:type="continuationSeparator" w:id="0">
    <w:p w14:paraId="26768126" w14:textId="77777777" w:rsidR="00264348" w:rsidRDefault="00264348" w:rsidP="008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ECFD" w14:textId="77777777" w:rsidR="008C702F" w:rsidRDefault="008C70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5E7E" w14:textId="77777777" w:rsidR="008C702F" w:rsidRPr="00B11A67" w:rsidRDefault="008C702F" w:rsidP="008C702F">
    <w:pPr>
      <w:pStyle w:val="Tekstpodstawowy"/>
      <w:rPr>
        <w:rFonts w:asciiTheme="majorHAnsi" w:hAnsiTheme="majorHAnsi" w:cstheme="majorHAnsi"/>
        <w:color w:val="000080"/>
        <w:sz w:val="18"/>
        <w:szCs w:val="18"/>
      </w:rPr>
    </w:pPr>
    <w:r w:rsidRPr="00B11A67">
      <w:rPr>
        <w:rFonts w:asciiTheme="majorHAnsi" w:hAnsiTheme="majorHAnsi" w:cstheme="majorHAnsi"/>
        <w:color w:val="000080"/>
        <w:sz w:val="18"/>
        <w:szCs w:val="18"/>
      </w:rPr>
      <w:t>31-001 Kraków, Wawel 5</w:t>
    </w:r>
  </w:p>
  <w:p w14:paraId="05D5DC4C" w14:textId="5FBCBA7A" w:rsidR="008C702F" w:rsidRPr="00B11A67" w:rsidRDefault="008C702F" w:rsidP="008C702F">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Centrala telefoniczna: 12 422 51 55  |  Kancelaria: tel./fax 12 421 51 77  |  Dyrekcja: tel./fax 12 422 19 50</w:t>
    </w:r>
  </w:p>
  <w:p w14:paraId="21EF3BE9" w14:textId="4D87C66A" w:rsidR="008C702F" w:rsidRPr="00B11A67" w:rsidRDefault="00B15908" w:rsidP="008C702F">
    <w:pPr>
      <w:spacing w:after="0" w:line="240" w:lineRule="auto"/>
      <w:jc w:val="center"/>
      <w:rPr>
        <w:rFonts w:asciiTheme="majorHAnsi" w:hAnsiTheme="majorHAnsi" w:cstheme="majorHAnsi"/>
        <w:color w:val="000080"/>
        <w:sz w:val="18"/>
        <w:szCs w:val="18"/>
      </w:rPr>
    </w:pPr>
    <w:hyperlink r:id="rId1" w:history="1">
      <w:r w:rsidR="008C702F" w:rsidRPr="00B11A67">
        <w:rPr>
          <w:rStyle w:val="Hipercze"/>
          <w:rFonts w:asciiTheme="majorHAnsi" w:hAnsiTheme="majorHAnsi" w:cstheme="majorHAnsi"/>
          <w:sz w:val="18"/>
          <w:szCs w:val="18"/>
        </w:rPr>
        <w:t>zamek@wawelzamek.pl</w:t>
      </w:r>
    </w:hyperlink>
  </w:p>
  <w:p w14:paraId="01828C6B" w14:textId="039A7B4A" w:rsidR="008C702F" w:rsidRPr="00B11A67" w:rsidRDefault="008C702F" w:rsidP="008C702F">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 xml:space="preserve">Administratorem danych osobowych jest Zamek Królewski na Wawelu - Państwowe Zbiory Sztuki. Pełna treść klauzuli informacyjnej oraz kontakt do Inspektora Danych Osobowych znajduje się na </w:t>
    </w:r>
    <w:hyperlink r:id="rId2" w:history="1">
      <w:r w:rsidR="006A5941" w:rsidRPr="001115C3">
        <w:rPr>
          <w:rStyle w:val="Hipercze"/>
          <w:rFonts w:asciiTheme="majorHAnsi" w:hAnsiTheme="majorHAnsi" w:cstheme="majorHAnsi"/>
          <w:sz w:val="18"/>
          <w:szCs w:val="18"/>
        </w:rPr>
        <w:t>https://wawel.krakow.pl/rodo</w:t>
      </w:r>
    </w:hyperlink>
  </w:p>
  <w:p w14:paraId="64552007" w14:textId="30BAA448" w:rsidR="008C702F" w:rsidRPr="00B11A67" w:rsidRDefault="00B15908" w:rsidP="008C702F">
    <w:pPr>
      <w:spacing w:line="240" w:lineRule="auto"/>
      <w:jc w:val="center"/>
      <w:rPr>
        <w:rFonts w:asciiTheme="majorHAnsi" w:hAnsiTheme="majorHAnsi" w:cstheme="majorHAnsi"/>
        <w:color w:val="000080"/>
        <w:sz w:val="18"/>
        <w:szCs w:val="18"/>
      </w:rPr>
    </w:pPr>
    <w:hyperlink r:id="rId3" w:history="1">
      <w:r w:rsidR="008C702F" w:rsidRPr="00B11A67">
        <w:rPr>
          <w:rStyle w:val="Hipercze"/>
          <w:rFonts w:asciiTheme="majorHAnsi" w:hAnsiTheme="majorHAnsi" w:cstheme="majorHAnsi"/>
          <w:sz w:val="18"/>
          <w:szCs w:val="18"/>
        </w:rPr>
        <w:t>www.wawel.krakow.pl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49F1" w14:textId="77777777" w:rsidR="008C702F" w:rsidRDefault="008C7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903D" w14:textId="77777777" w:rsidR="00264348" w:rsidRDefault="00264348" w:rsidP="008D7D92">
      <w:pPr>
        <w:spacing w:after="0" w:line="240" w:lineRule="auto"/>
      </w:pPr>
      <w:r>
        <w:separator/>
      </w:r>
    </w:p>
  </w:footnote>
  <w:footnote w:type="continuationSeparator" w:id="0">
    <w:p w14:paraId="0DB4B095" w14:textId="77777777" w:rsidR="00264348" w:rsidRDefault="00264348" w:rsidP="008D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A4E3" w14:textId="77777777" w:rsidR="008C702F" w:rsidRDefault="008C70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133C" w14:textId="4A749A47" w:rsidR="008D7D92" w:rsidRDefault="008D7D92">
    <w:pPr>
      <w:pStyle w:val="Nagwek"/>
    </w:pPr>
    <w:r>
      <w:rPr>
        <w:noProof/>
        <w:lang w:eastAsia="pl-PL"/>
      </w:rPr>
      <w:drawing>
        <wp:anchor distT="0" distB="0" distL="114300" distR="114300" simplePos="0" relativeHeight="251658240" behindDoc="0" locked="0" layoutInCell="1" allowOverlap="1" wp14:anchorId="3ECF63FC" wp14:editId="74FA2691">
          <wp:simplePos x="0" y="0"/>
          <wp:positionH relativeFrom="margin">
            <wp:align>right</wp:align>
          </wp:positionH>
          <wp:positionV relativeFrom="paragraph">
            <wp:posOffset>-449580</wp:posOffset>
          </wp:positionV>
          <wp:extent cx="548640" cy="1905000"/>
          <wp:effectExtent l="0" t="0" r="381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1905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836B" w14:textId="77777777" w:rsidR="008C702F" w:rsidRDefault="008C70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92"/>
    <w:rsid w:val="00017955"/>
    <w:rsid w:val="00174002"/>
    <w:rsid w:val="00264348"/>
    <w:rsid w:val="003B6946"/>
    <w:rsid w:val="006A5941"/>
    <w:rsid w:val="007D597C"/>
    <w:rsid w:val="008C702F"/>
    <w:rsid w:val="008D7D92"/>
    <w:rsid w:val="00967022"/>
    <w:rsid w:val="009E269C"/>
    <w:rsid w:val="00B11A67"/>
    <w:rsid w:val="00B15908"/>
    <w:rsid w:val="00C03C79"/>
    <w:rsid w:val="00C21016"/>
    <w:rsid w:val="00E0569A"/>
    <w:rsid w:val="00F17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D54B5"/>
  <w15:chartTrackingRefBased/>
  <w15:docId w15:val="{6551BFCB-F5EB-49CB-B3F6-D85CC00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597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D92"/>
  </w:style>
  <w:style w:type="paragraph" w:styleId="Stopka">
    <w:name w:val="footer"/>
    <w:basedOn w:val="Normalny"/>
    <w:link w:val="StopkaZnak"/>
    <w:uiPriority w:val="99"/>
    <w:unhideWhenUsed/>
    <w:rsid w:val="008D7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D92"/>
  </w:style>
  <w:style w:type="paragraph" w:styleId="Tekstpodstawowy">
    <w:name w:val="Body Text"/>
    <w:basedOn w:val="Normalny"/>
    <w:link w:val="TekstpodstawowyZnak"/>
    <w:semiHidden/>
    <w:rsid w:val="008C702F"/>
    <w:pPr>
      <w:spacing w:after="0" w:line="240" w:lineRule="auto"/>
      <w:jc w:val="center"/>
    </w:pPr>
    <w:rPr>
      <w:rFonts w:ascii="Book Antiqua" w:eastAsia="Times New Roman" w:hAnsi="Book Antiqua" w:cs="Times New Roman"/>
      <w:sz w:val="16"/>
      <w:szCs w:val="20"/>
      <w:lang w:eastAsia="pl-PL"/>
    </w:rPr>
  </w:style>
  <w:style w:type="character" w:customStyle="1" w:styleId="TekstpodstawowyZnak">
    <w:name w:val="Tekst podstawowy Znak"/>
    <w:basedOn w:val="Domylnaczcionkaakapitu"/>
    <w:link w:val="Tekstpodstawowy"/>
    <w:semiHidden/>
    <w:rsid w:val="008C702F"/>
    <w:rPr>
      <w:rFonts w:ascii="Book Antiqua" w:eastAsia="Times New Roman" w:hAnsi="Book Antiqua" w:cs="Times New Roman"/>
      <w:sz w:val="16"/>
      <w:szCs w:val="20"/>
      <w:lang w:eastAsia="pl-PL"/>
    </w:rPr>
  </w:style>
  <w:style w:type="character" w:styleId="Hipercze">
    <w:name w:val="Hyperlink"/>
    <w:semiHidden/>
    <w:rsid w:val="008C702F"/>
    <w:rPr>
      <w:color w:val="0000FF"/>
      <w:u w:val="single"/>
    </w:rPr>
  </w:style>
  <w:style w:type="character" w:customStyle="1" w:styleId="Nierozpoznanawzmianka1">
    <w:name w:val="Nierozpoznana wzmianka1"/>
    <w:basedOn w:val="Domylnaczcionkaakapitu"/>
    <w:uiPriority w:val="99"/>
    <w:semiHidden/>
    <w:unhideWhenUsed/>
    <w:rsid w:val="008C702F"/>
    <w:rPr>
      <w:color w:val="605E5C"/>
      <w:shd w:val="clear" w:color="auto" w:fill="E1DFDD"/>
    </w:rPr>
  </w:style>
  <w:style w:type="paragraph" w:styleId="NormalnyWeb">
    <w:name w:val="Normal (Web)"/>
    <w:basedOn w:val="Normalny"/>
    <w:uiPriority w:val="99"/>
    <w:semiHidden/>
    <w:unhideWhenUsed/>
    <w:rsid w:val="00C03C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17C59"/>
    <w:rPr>
      <w:sz w:val="16"/>
      <w:szCs w:val="16"/>
    </w:rPr>
  </w:style>
  <w:style w:type="paragraph" w:styleId="Tekstkomentarza">
    <w:name w:val="annotation text"/>
    <w:basedOn w:val="Normalny"/>
    <w:link w:val="TekstkomentarzaZnak"/>
    <w:uiPriority w:val="99"/>
    <w:semiHidden/>
    <w:unhideWhenUsed/>
    <w:rsid w:val="00F17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7C59"/>
    <w:rPr>
      <w:sz w:val="20"/>
      <w:szCs w:val="20"/>
    </w:rPr>
  </w:style>
  <w:style w:type="paragraph" w:styleId="Tematkomentarza">
    <w:name w:val="annotation subject"/>
    <w:basedOn w:val="Tekstkomentarza"/>
    <w:next w:val="Tekstkomentarza"/>
    <w:link w:val="TematkomentarzaZnak"/>
    <w:uiPriority w:val="99"/>
    <w:semiHidden/>
    <w:unhideWhenUsed/>
    <w:rsid w:val="00F17C59"/>
    <w:rPr>
      <w:b/>
      <w:bCs/>
    </w:rPr>
  </w:style>
  <w:style w:type="character" w:customStyle="1" w:styleId="TematkomentarzaZnak">
    <w:name w:val="Temat komentarza Znak"/>
    <w:basedOn w:val="TekstkomentarzaZnak"/>
    <w:link w:val="Tematkomentarza"/>
    <w:uiPriority w:val="99"/>
    <w:semiHidden/>
    <w:rsid w:val="00F17C59"/>
    <w:rPr>
      <w:b/>
      <w:bCs/>
      <w:sz w:val="20"/>
      <w:szCs w:val="20"/>
    </w:rPr>
  </w:style>
  <w:style w:type="paragraph" w:styleId="Tekstdymka">
    <w:name w:val="Balloon Text"/>
    <w:basedOn w:val="Normalny"/>
    <w:link w:val="TekstdymkaZnak"/>
    <w:uiPriority w:val="99"/>
    <w:semiHidden/>
    <w:unhideWhenUsed/>
    <w:rsid w:val="00F17C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7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4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wawel.krakow.pl/" TargetMode="External"/><Relationship Id="rId2" Type="http://schemas.openxmlformats.org/officeDocument/2006/relationships/hyperlink" Target="https://wawel.krakow.pl/rodo" TargetMode="External"/><Relationship Id="rId1" Type="http://schemas.openxmlformats.org/officeDocument/2006/relationships/hyperlink" Target="mailto:zamek@wawelzamek.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C8F8-74A8-4294-A73F-7964072E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282</Words>
  <Characters>1698</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Józefina Wiśniewska</dc:creator>
  <cp:keywords/>
  <dc:description/>
  <cp:lastModifiedBy>Urszula Wolak-Dudek</cp:lastModifiedBy>
  <cp:revision>12</cp:revision>
  <dcterms:created xsi:type="dcterms:W3CDTF">2022-05-19T17:31:00Z</dcterms:created>
  <dcterms:modified xsi:type="dcterms:W3CDTF">2023-03-17T10:26:00Z</dcterms:modified>
</cp:coreProperties>
</file>