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45D" w14:textId="72C2C568" w:rsidR="00A57627" w:rsidRDefault="00155131"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B89944F" wp14:editId="4F66F25B">
            <wp:simplePos x="0" y="0"/>
            <wp:positionH relativeFrom="insideMargin">
              <wp:posOffset>6240780</wp:posOffset>
            </wp:positionH>
            <wp:positionV relativeFrom="paragraph">
              <wp:posOffset>121285</wp:posOffset>
            </wp:positionV>
            <wp:extent cx="307340" cy="723900"/>
            <wp:effectExtent l="0" t="0" r="0" b="0"/>
            <wp:wrapSquare wrapText="bothSides"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087"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281D8C5" wp14:editId="11CA4538">
            <wp:simplePos x="0" y="0"/>
            <wp:positionH relativeFrom="column">
              <wp:posOffset>-150495</wp:posOffset>
            </wp:positionH>
            <wp:positionV relativeFrom="paragraph">
              <wp:posOffset>141605</wp:posOffset>
            </wp:positionV>
            <wp:extent cx="2616200" cy="735330"/>
            <wp:effectExtent l="0" t="0" r="0" b="0"/>
            <wp:wrapTight wrapText="bothSides">
              <wp:wrapPolygon edited="0">
                <wp:start x="2045" y="2238"/>
                <wp:lineTo x="1258" y="3917"/>
                <wp:lineTo x="629" y="7834"/>
                <wp:lineTo x="786" y="16788"/>
                <wp:lineTo x="2045" y="18466"/>
                <wp:lineTo x="4876" y="19585"/>
                <wp:lineTo x="20761" y="19585"/>
                <wp:lineTo x="20604" y="7275"/>
                <wp:lineTo x="14784" y="3917"/>
                <wp:lineTo x="3460" y="2238"/>
                <wp:lineTo x="2045" y="2238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093D" w14:textId="3922FBCC" w:rsidR="00FE7B63" w:rsidRPr="00FE7B63" w:rsidRDefault="00FE7B63" w:rsidP="00FE7B63">
      <w:pPr>
        <w:rPr>
          <w:rFonts w:ascii="Book Antiqua" w:hAnsi="Book Antiqua" w:cstheme="minorHAnsi"/>
          <w:b/>
          <w:sz w:val="24"/>
          <w:szCs w:val="24"/>
        </w:rPr>
      </w:pPr>
      <w:bookmarkStart w:id="0" w:name="_Hlk50374793"/>
    </w:p>
    <w:p w14:paraId="6DAEFC7C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76711957" w14:textId="77777777" w:rsidR="00CD6087" w:rsidRDefault="00CD6087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</w:p>
    <w:p w14:paraId="6F2C40E6" w14:textId="5ABE53AF" w:rsidR="00FE7B63" w:rsidRPr="00E712C1" w:rsidRDefault="00870C39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19</w:t>
      </w:r>
      <w:r w:rsidR="00FE7B63" w:rsidRPr="00E712C1"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sz w:val="32"/>
          <w:szCs w:val="32"/>
        </w:rPr>
        <w:t>grudnia</w:t>
      </w:r>
      <w:r w:rsidR="00FE7B63" w:rsidRPr="00E712C1">
        <w:rPr>
          <w:rFonts w:ascii="Book Antiqua" w:eastAsia="Book Antiqua" w:hAnsi="Book Antiqua" w:cs="Book Antiqua"/>
          <w:b/>
          <w:sz w:val="32"/>
          <w:szCs w:val="32"/>
        </w:rPr>
        <w:t xml:space="preserve"> 202</w:t>
      </w:r>
      <w:r w:rsidR="0010108C">
        <w:rPr>
          <w:rFonts w:ascii="Book Antiqua" w:eastAsia="Book Antiqua" w:hAnsi="Book Antiqua" w:cs="Book Antiqua"/>
          <w:b/>
          <w:sz w:val="32"/>
          <w:szCs w:val="32"/>
        </w:rPr>
        <w:t>2</w:t>
      </w:r>
      <w:r w:rsidR="00FE7B63" w:rsidRPr="00E712C1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FE7B63" w:rsidRPr="00E712C1">
        <w:rPr>
          <w:rFonts w:ascii="Book Antiqua" w:eastAsia="Book Antiqua" w:hAnsi="Book Antiqua" w:cs="Book Antiqua"/>
          <w:i/>
          <w:sz w:val="32"/>
          <w:szCs w:val="32"/>
        </w:rPr>
        <w:t xml:space="preserve"> </w:t>
      </w:r>
    </w:p>
    <w:p w14:paraId="0FC2AC4C" w14:textId="1F1185F6" w:rsidR="00A57627" w:rsidRPr="00870C39" w:rsidRDefault="00870C39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36"/>
          <w:szCs w:val="36"/>
        </w:rPr>
      </w:pPr>
      <w:r w:rsidRPr="00870C39">
        <w:rPr>
          <w:rFonts w:ascii="Book Antiqua" w:eastAsia="Book Antiqua" w:hAnsi="Book Antiqua" w:cs="Book Antiqua"/>
          <w:sz w:val="36"/>
          <w:szCs w:val="36"/>
        </w:rPr>
        <w:t>Skwer im. Profesor Karoliny Lanckorońskiej</w:t>
      </w:r>
      <w:r w:rsidR="00FE7B63" w:rsidRPr="00870C39">
        <w:rPr>
          <w:rFonts w:ascii="Book Antiqua" w:eastAsia="Book Antiqua" w:hAnsi="Book Antiqua" w:cs="Book Antiqua"/>
          <w:sz w:val="36"/>
          <w:szCs w:val="36"/>
        </w:rPr>
        <w:t xml:space="preserve"> </w:t>
      </w:r>
      <w:r w:rsidR="00FE7B63" w:rsidRPr="00870C39">
        <w:rPr>
          <w:rFonts w:ascii="Book Antiqua" w:eastAsia="Book Antiqua" w:hAnsi="Book Antiqua" w:cs="Book Antiqua"/>
          <w:sz w:val="36"/>
          <w:szCs w:val="36"/>
        </w:rPr>
        <w:br/>
      </w:r>
      <w:r w:rsidRPr="00870C39">
        <w:rPr>
          <w:rFonts w:ascii="Book Antiqua" w:eastAsia="Book Antiqua" w:hAnsi="Book Antiqua" w:cs="Book Antiqua"/>
          <w:sz w:val="36"/>
          <w:szCs w:val="36"/>
        </w:rPr>
        <w:t>u podnóża Zamku Królewskiego na Wawelu</w:t>
      </w:r>
      <w:r w:rsidR="00FE7B63" w:rsidRPr="00870C39">
        <w:rPr>
          <w:rFonts w:ascii="Book Antiqua" w:eastAsia="Book Antiqua" w:hAnsi="Book Antiqua" w:cs="Book Antiqua"/>
          <w:sz w:val="36"/>
          <w:szCs w:val="36"/>
        </w:rPr>
        <w:t xml:space="preserve">  </w:t>
      </w:r>
    </w:p>
    <w:p w14:paraId="3A589316" w14:textId="77777777" w:rsidR="00FE7B63" w:rsidRDefault="00FE7B63" w:rsidP="00FE7B63">
      <w:pPr>
        <w:spacing w:after="200" w:line="240" w:lineRule="auto"/>
        <w:rPr>
          <w:rFonts w:ascii="Book Antiqua" w:eastAsia="Book Antiqua" w:hAnsi="Book Antiqua" w:cs="Book Antiqua"/>
          <w:sz w:val="48"/>
          <w:szCs w:val="48"/>
        </w:rPr>
      </w:pPr>
    </w:p>
    <w:p w14:paraId="730F84A9" w14:textId="3E6F08A7" w:rsidR="00A57627" w:rsidRPr="0060329D" w:rsidRDefault="00A57627" w:rsidP="002A4EDA">
      <w:pPr>
        <w:tabs>
          <w:tab w:val="right" w:pos="8011"/>
        </w:tabs>
        <w:rPr>
          <w:rFonts w:cstheme="minorHAnsi"/>
          <w:b/>
          <w:sz w:val="28"/>
          <w:szCs w:val="28"/>
        </w:rPr>
      </w:pPr>
      <w:r w:rsidRPr="0060329D">
        <w:rPr>
          <w:noProof/>
          <w:sz w:val="28"/>
          <w:szCs w:val="28"/>
          <w:lang w:eastAsia="pl-PL"/>
        </w:rPr>
        <w:drawing>
          <wp:anchor distT="0" distB="0" distL="133350" distR="0" simplePos="0" relativeHeight="251661312" behindDoc="0" locked="0" layoutInCell="1" allowOverlap="1" wp14:anchorId="25FEC09D" wp14:editId="393005D3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EDA">
        <w:rPr>
          <w:rFonts w:cstheme="minorHAnsi"/>
          <w:b/>
          <w:sz w:val="28"/>
          <w:szCs w:val="28"/>
        </w:rPr>
        <w:tab/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A57627" w:rsidRPr="00E213AC" w14:paraId="6FF34B1A" w14:textId="77777777" w:rsidTr="00D5374E">
        <w:trPr>
          <w:trHeight w:val="6087"/>
        </w:trPr>
        <w:tc>
          <w:tcPr>
            <w:tcW w:w="3969" w:type="dxa"/>
          </w:tcPr>
          <w:p w14:paraId="35614726" w14:textId="2377004B" w:rsidR="00A57627" w:rsidRPr="00E213AC" w:rsidRDefault="001C36DA" w:rsidP="00A57627">
            <w:pPr>
              <w:rPr>
                <w:rFonts w:ascii="Book Antiqua" w:hAnsi="Book Antiqua"/>
                <w:sz w:val="24"/>
                <w:szCs w:val="24"/>
              </w:rPr>
            </w:pPr>
            <w:bookmarkStart w:id="1" w:name="_Hlk50374848"/>
            <w:bookmarkEnd w:id="0"/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8D0387" wp14:editId="67AC8412">
                  <wp:extent cx="2397760" cy="3656710"/>
                  <wp:effectExtent l="0" t="0" r="2540" b="127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3128958_416124452873951_6726331756988606193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383" cy="368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7" w:rsidRPr="00E213AC" w14:paraId="4BB59599" w14:textId="77777777" w:rsidTr="00D5374E">
        <w:trPr>
          <w:trHeight w:val="2556"/>
        </w:trPr>
        <w:tc>
          <w:tcPr>
            <w:tcW w:w="3969" w:type="dxa"/>
          </w:tcPr>
          <w:p w14:paraId="63951D87" w14:textId="09472499" w:rsidR="00A57627" w:rsidRPr="008665CE" w:rsidRDefault="008665CE" w:rsidP="008665CE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</w:rPr>
            </w:pPr>
            <w:r w:rsidRPr="008665CE">
              <w:rPr>
                <w:rFonts w:ascii="Book Antiqua" w:hAnsi="Book Antiqua" w:cstheme="minorHAnsi"/>
                <w:i/>
                <w:color w:val="1F3864" w:themeColor="accent1" w:themeShade="80"/>
              </w:rPr>
              <w:t xml:space="preserve">Mam nadzieję, że skwer przyczyni się do upowszechnienia wiedzy o życiu niezwykłej i doświadczonej przez historię </w:t>
            </w:r>
            <w:r w:rsidR="00493851">
              <w:rPr>
                <w:rFonts w:ascii="Book Antiqua" w:hAnsi="Book Antiqua" w:cstheme="minorHAnsi"/>
                <w:i/>
                <w:color w:val="1F3864" w:themeColor="accent1" w:themeShade="80"/>
              </w:rPr>
              <w:t>K</w:t>
            </w:r>
            <w:r w:rsidRPr="008665CE">
              <w:rPr>
                <w:rFonts w:ascii="Book Antiqua" w:hAnsi="Book Antiqua" w:cstheme="minorHAnsi"/>
                <w:i/>
                <w:color w:val="1F3864" w:themeColor="accent1" w:themeShade="80"/>
              </w:rPr>
              <w:t>obiety</w:t>
            </w:r>
            <w:r w:rsidR="00175E35" w:rsidRPr="00E213AC">
              <w:rPr>
                <w:rFonts w:ascii="Book Antiqua" w:hAnsi="Book Antiqua" w:cstheme="minorHAnsi"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– mówi </w:t>
            </w:r>
            <w:r w:rsidR="00117BAE" w:rsidRPr="008665CE">
              <w:rPr>
                <w:rFonts w:ascii="Book Antiqua" w:hAnsi="Book Antiqua" w:cstheme="minorHAnsi"/>
                <w:color w:val="002060"/>
              </w:rPr>
              <w:t>prof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. Andrzej Betlej, </w:t>
            </w:r>
            <w:r w:rsidR="004B3AC6" w:rsidRPr="008665CE">
              <w:rPr>
                <w:rFonts w:ascii="Book Antiqua" w:hAnsi="Book Antiqua" w:cstheme="minorHAnsi"/>
                <w:color w:val="002060"/>
              </w:rPr>
              <w:t>d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 xml:space="preserve">yrektor </w:t>
            </w:r>
            <w:r w:rsidR="00117BAE" w:rsidRPr="008665CE">
              <w:rPr>
                <w:rFonts w:ascii="Book Antiqua" w:hAnsi="Book Antiqua" w:cstheme="minorHAnsi"/>
                <w:color w:val="002060"/>
              </w:rPr>
              <w:t xml:space="preserve">Zamku Królewskiego na </w:t>
            </w:r>
            <w:r w:rsidR="00A57627" w:rsidRPr="008665CE">
              <w:rPr>
                <w:rFonts w:ascii="Book Antiqua" w:hAnsi="Book Antiqua" w:cstheme="minorHAnsi"/>
                <w:color w:val="002060"/>
              </w:rPr>
              <w:t>Wawelu</w:t>
            </w:r>
          </w:p>
          <w:p w14:paraId="6A9AB243" w14:textId="77777777" w:rsidR="00A57627" w:rsidRPr="00E213AC" w:rsidRDefault="00A57627" w:rsidP="00A57627">
            <w:pPr>
              <w:rPr>
                <w:rFonts w:ascii="Book Antiqua" w:hAnsi="Book Antiqua"/>
                <w:sz w:val="24"/>
                <w:szCs w:val="24"/>
              </w:rPr>
            </w:pPr>
            <w:r w:rsidRPr="00E213AC">
              <w:rPr>
                <w:rFonts w:ascii="Book Antiqua" w:hAnsi="Book Antiqua"/>
                <w:noProof/>
                <w:sz w:val="24"/>
                <w:szCs w:val="24"/>
                <w:lang w:eastAsia="pl-PL"/>
              </w:rPr>
              <w:drawing>
                <wp:anchor distT="0" distB="0" distL="133350" distR="0" simplePos="0" relativeHeight="251667456" behindDoc="0" locked="0" layoutInCell="1" allowOverlap="1" wp14:anchorId="3EB7BEAE" wp14:editId="2A1AFAC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BF7888" w14:textId="11A8DEFB" w:rsidR="008665CE" w:rsidRDefault="00870C39" w:rsidP="00870C39">
      <w:pPr>
        <w:shd w:val="clear" w:color="auto" w:fill="FFFFFF"/>
        <w:spacing w:after="0" w:line="240" w:lineRule="auto"/>
        <w:jc w:val="both"/>
        <w:rPr>
          <w:rStyle w:val="Pogrubienie"/>
          <w:rFonts w:ascii="Book Antiqua" w:hAnsi="Book Antiqua"/>
          <w:color w:val="242424"/>
          <w:shd w:val="clear" w:color="auto" w:fill="FFFFFF"/>
        </w:rPr>
      </w:pPr>
      <w:r w:rsidRPr="00E730FB">
        <w:rPr>
          <w:rFonts w:ascii="Book Antiqua" w:hAnsi="Book Antiqua"/>
          <w:b/>
        </w:rPr>
        <w:t>Największa wawelska donatorka, wybitna ba</w:t>
      </w:r>
      <w:r w:rsidR="008665CE">
        <w:rPr>
          <w:rFonts w:ascii="Book Antiqua" w:hAnsi="Book Antiqua"/>
          <w:b/>
        </w:rPr>
        <w:t xml:space="preserve">- </w:t>
      </w:r>
      <w:proofErr w:type="spellStart"/>
      <w:r w:rsidRPr="00E730FB">
        <w:rPr>
          <w:rFonts w:ascii="Book Antiqua" w:hAnsi="Book Antiqua"/>
          <w:b/>
        </w:rPr>
        <w:t>daczka</w:t>
      </w:r>
      <w:proofErr w:type="spellEnd"/>
      <w:r w:rsidRPr="00E730FB">
        <w:rPr>
          <w:rFonts w:ascii="Book Antiqua" w:hAnsi="Book Antiqua"/>
          <w:b/>
        </w:rPr>
        <w:t xml:space="preserve"> sztuki, </w:t>
      </w:r>
      <w:r w:rsidRPr="00E730FB">
        <w:rPr>
          <w:rFonts w:ascii="Book Antiqua" w:hAnsi="Book Antiqua"/>
          <w:b/>
          <w:spacing w:val="14"/>
        </w:rPr>
        <w:t>pierwsza kobieta-docent z za</w:t>
      </w:r>
      <w:r w:rsidR="008665CE">
        <w:rPr>
          <w:rFonts w:ascii="Book Antiqua" w:hAnsi="Book Antiqua"/>
          <w:b/>
          <w:spacing w:val="14"/>
        </w:rPr>
        <w:t xml:space="preserve">- </w:t>
      </w:r>
      <w:r w:rsidRPr="00E730FB">
        <w:rPr>
          <w:rFonts w:ascii="Book Antiqua" w:hAnsi="Book Antiqua"/>
          <w:b/>
          <w:spacing w:val="14"/>
        </w:rPr>
        <w:t xml:space="preserve">kresu historii sztuki na polskiej uczelni, </w:t>
      </w:r>
      <w:r w:rsidRPr="00E730FB">
        <w:rPr>
          <w:rFonts w:ascii="Book Antiqua" w:hAnsi="Book Antiqua"/>
          <w:b/>
        </w:rPr>
        <w:t>ko</w:t>
      </w:r>
      <w:r w:rsidR="008665CE">
        <w:rPr>
          <w:rFonts w:ascii="Book Antiqua" w:hAnsi="Book Antiqua"/>
          <w:b/>
        </w:rPr>
        <w:t xml:space="preserve">- </w:t>
      </w:r>
      <w:proofErr w:type="spellStart"/>
      <w:r w:rsidRPr="00E730FB">
        <w:rPr>
          <w:rFonts w:ascii="Book Antiqua" w:hAnsi="Book Antiqua"/>
          <w:b/>
        </w:rPr>
        <w:t>bieta</w:t>
      </w:r>
      <w:proofErr w:type="spellEnd"/>
      <w:r w:rsidRPr="00E730FB">
        <w:rPr>
          <w:rFonts w:ascii="Book Antiqua" w:hAnsi="Book Antiqua"/>
          <w:b/>
        </w:rPr>
        <w:t xml:space="preserve"> czynu – </w:t>
      </w:r>
      <w:r w:rsidRPr="00A52857">
        <w:rPr>
          <w:rFonts w:ascii="Book Antiqua" w:hAnsi="Book Antiqua"/>
          <w:b/>
          <w:color w:val="FF0000"/>
        </w:rPr>
        <w:t xml:space="preserve">profesor Karolina Lanckorońska. Od dziś jej imię nosi skwer na styku ulic Podzamcze i Kanoniczej u podnóża Zamku Królewskiego na Wawelu. </w:t>
      </w:r>
      <w:r w:rsidRPr="00E730FB">
        <w:rPr>
          <w:rFonts w:ascii="Book Antiqua" w:hAnsi="Book Antiqua"/>
          <w:b/>
        </w:rPr>
        <w:t>Uroczyste odsłonięcie tablicy odbyło się w 20. rocznicę śmierci Lanckorońskiej w obecności</w:t>
      </w:r>
      <w:r w:rsidR="00F7723B">
        <w:rPr>
          <w:rFonts w:ascii="Book Antiqua" w:hAnsi="Book Antiqua"/>
          <w:b/>
        </w:rPr>
        <w:t xml:space="preserve"> Roberta Piasko</w:t>
      </w:r>
      <w:r w:rsidR="002F2C7F">
        <w:rPr>
          <w:rFonts w:ascii="Book Antiqua" w:hAnsi="Book Antiqua"/>
          <w:b/>
        </w:rPr>
        <w:softHyphen/>
      </w:r>
      <w:r w:rsidR="00F7723B">
        <w:rPr>
          <w:rFonts w:ascii="Book Antiqua" w:hAnsi="Book Antiqua"/>
          <w:b/>
        </w:rPr>
        <w:t>w</w:t>
      </w:r>
      <w:r w:rsidR="002F2C7F">
        <w:rPr>
          <w:rFonts w:ascii="Book Antiqua" w:hAnsi="Book Antiqua"/>
          <w:b/>
        </w:rPr>
        <w:softHyphen/>
      </w:r>
      <w:r w:rsidR="00F7723B">
        <w:rPr>
          <w:rFonts w:ascii="Book Antiqua" w:hAnsi="Book Antiqua"/>
          <w:b/>
        </w:rPr>
        <w:t>s</w:t>
      </w:r>
      <w:r w:rsidR="002F2C7F">
        <w:rPr>
          <w:rFonts w:ascii="Book Antiqua" w:hAnsi="Book Antiqua"/>
          <w:b/>
        </w:rPr>
        <w:softHyphen/>
      </w:r>
      <w:r w:rsidR="00F7723B">
        <w:rPr>
          <w:rFonts w:ascii="Book Antiqua" w:hAnsi="Book Antiqua"/>
          <w:b/>
        </w:rPr>
        <w:t>kiego – Pełnomocnika</w:t>
      </w:r>
      <w:r w:rsidRPr="00E730FB">
        <w:rPr>
          <w:rFonts w:ascii="Book Antiqua" w:hAnsi="Book Antiqua"/>
          <w:b/>
        </w:rPr>
        <w:t xml:space="preserve"> Prezydenta Miasta Krakowa </w:t>
      </w:r>
      <w:r w:rsidR="00F7723B">
        <w:rPr>
          <w:rFonts w:ascii="Book Antiqua" w:hAnsi="Book Antiqua"/>
          <w:b/>
        </w:rPr>
        <w:t>ds. kultury</w:t>
      </w:r>
      <w:r w:rsidR="00A52857">
        <w:rPr>
          <w:rFonts w:ascii="Book Antiqua" w:hAnsi="Book Antiqua"/>
          <w:b/>
        </w:rPr>
        <w:t xml:space="preserve">, prof. Andrzeja Betleja – Dyrektora Zamku Królewskiego na Wawelu, dr. Joanny Winiewicz-Wolskiej – kuratorki zbiorów malarstwa </w:t>
      </w:r>
      <w:proofErr w:type="spellStart"/>
      <w:r w:rsidR="00A52857">
        <w:rPr>
          <w:rFonts w:ascii="Book Antiqua" w:hAnsi="Book Antiqua"/>
          <w:b/>
        </w:rPr>
        <w:t>ZKnW</w:t>
      </w:r>
      <w:proofErr w:type="spellEnd"/>
      <w:r w:rsidR="00A52857">
        <w:rPr>
          <w:rFonts w:ascii="Book Antiqua" w:hAnsi="Book Antiqua"/>
          <w:b/>
        </w:rPr>
        <w:t xml:space="preserve">, Piotra </w:t>
      </w:r>
      <w:proofErr w:type="spellStart"/>
      <w:r w:rsidR="00A52857">
        <w:rPr>
          <w:rFonts w:ascii="Book Antiqua" w:hAnsi="Book Antiqua"/>
          <w:b/>
        </w:rPr>
        <w:t>Pinińskiego</w:t>
      </w:r>
      <w:proofErr w:type="spellEnd"/>
      <w:r w:rsidR="00A52857">
        <w:rPr>
          <w:rFonts w:ascii="Book Antiqua" w:hAnsi="Book Antiqua"/>
          <w:b/>
        </w:rPr>
        <w:t xml:space="preserve"> – prezesa Fundacji </w:t>
      </w:r>
      <w:r w:rsidR="00A52857" w:rsidRPr="00107F86">
        <w:rPr>
          <w:rFonts w:ascii="Book Antiqua" w:hAnsi="Book Antiqua"/>
          <w:b/>
        </w:rPr>
        <w:t>Lancko</w:t>
      </w:r>
      <w:r w:rsidR="00107F86">
        <w:rPr>
          <w:rStyle w:val="Odwoaniedokomentarza"/>
          <w:rFonts w:ascii="Book Antiqua" w:hAnsi="Book Antiqua"/>
          <w:sz w:val="22"/>
          <w:szCs w:val="22"/>
        </w:rPr>
        <w:t>r</w:t>
      </w:r>
      <w:r w:rsidR="00A52857" w:rsidRPr="00107F86">
        <w:rPr>
          <w:rFonts w:ascii="Book Antiqua" w:hAnsi="Book Antiqua"/>
          <w:b/>
        </w:rPr>
        <w:t>ońskich</w:t>
      </w:r>
      <w:r w:rsidRPr="00E730FB">
        <w:rPr>
          <w:rFonts w:ascii="Book Antiqua" w:hAnsi="Book Antiqua"/>
          <w:b/>
        </w:rPr>
        <w:t>. O życiu i dokonaniach Lanc</w:t>
      </w:r>
      <w:r w:rsidR="00A52857">
        <w:rPr>
          <w:rFonts w:ascii="Book Antiqua" w:hAnsi="Book Antiqua"/>
          <w:b/>
        </w:rPr>
        <w:softHyphen/>
      </w:r>
      <w:r w:rsidRPr="00E730FB">
        <w:rPr>
          <w:rFonts w:ascii="Book Antiqua" w:hAnsi="Book Antiqua"/>
          <w:b/>
        </w:rPr>
        <w:t>korońskiej przypomina</w:t>
      </w:r>
      <w:r w:rsidR="00107F86">
        <w:rPr>
          <w:rFonts w:ascii="Book Antiqua" w:hAnsi="Book Antiqua"/>
          <w:b/>
        </w:rPr>
        <w:t>liśmy t</w:t>
      </w:r>
      <w:r w:rsidRPr="00E730FB">
        <w:rPr>
          <w:rFonts w:ascii="Book Antiqua" w:hAnsi="Book Antiqua"/>
          <w:b/>
        </w:rPr>
        <w:t>akże podczas tegorocznej, głośnej ekspozycji „Arcydzieła z kolekcji Lanck</w:t>
      </w:r>
      <w:r w:rsidR="00A52857">
        <w:rPr>
          <w:rFonts w:ascii="Book Antiqua" w:hAnsi="Book Antiqua"/>
          <w:b/>
        </w:rPr>
        <w:t>o</w:t>
      </w:r>
      <w:r w:rsidRPr="00E730FB">
        <w:rPr>
          <w:rFonts w:ascii="Book Antiqua" w:hAnsi="Book Antiqua"/>
          <w:b/>
        </w:rPr>
        <w:t xml:space="preserve">rońskich”, która cztery dni temu </w:t>
      </w:r>
      <w:r w:rsidRPr="00E730FB">
        <w:rPr>
          <w:rFonts w:ascii="Book Antiqua" w:hAnsi="Book Antiqua"/>
          <w:b/>
          <w:color w:val="242424"/>
          <w:bdr w:val="none" w:sz="0" w:space="0" w:color="auto" w:frame="1"/>
          <w:shd w:val="clear" w:color="auto" w:fill="FFFFFF"/>
        </w:rPr>
        <w:t>zdobyła</w:t>
      </w:r>
      <w:r w:rsidRPr="00E730FB">
        <w:rPr>
          <w:rFonts w:ascii="Book Antiqua" w:hAnsi="Book Antiqua"/>
          <w:color w:val="242424"/>
          <w:bdr w:val="none" w:sz="0" w:space="0" w:color="auto" w:frame="1"/>
          <w:shd w:val="clear" w:color="auto" w:fill="FFFFFF"/>
        </w:rPr>
        <w:t> </w:t>
      </w:r>
      <w:r w:rsidRPr="00E730FB">
        <w:rPr>
          <w:rStyle w:val="Pogrubienie"/>
          <w:rFonts w:ascii="Book Antiqua" w:hAnsi="Book Antiqua"/>
          <w:color w:val="242424"/>
          <w:bdr w:val="none" w:sz="0" w:space="0" w:color="auto" w:frame="1"/>
          <w:shd w:val="clear" w:color="auto" w:fill="FFFFFF"/>
        </w:rPr>
        <w:t xml:space="preserve">I miejsce w kategorii WYSTAWA w </w:t>
      </w:r>
      <w:r w:rsidRPr="00E730FB">
        <w:rPr>
          <w:rStyle w:val="Pogrubienie"/>
          <w:rFonts w:ascii="Book Antiqua" w:hAnsi="Book Antiqua"/>
          <w:color w:val="242424"/>
          <w:shd w:val="clear" w:color="auto" w:fill="FFFFFF"/>
        </w:rPr>
        <w:t xml:space="preserve">IV Edycji </w:t>
      </w:r>
      <w:r w:rsidR="008665CE">
        <w:rPr>
          <w:rStyle w:val="Pogrubienie"/>
          <w:rFonts w:ascii="Book Antiqua" w:hAnsi="Book Antiqua"/>
          <w:color w:val="242424"/>
          <w:shd w:val="clear" w:color="auto" w:fill="FFFFFF"/>
        </w:rPr>
        <w:t xml:space="preserve">prestiżowego konkursu </w:t>
      </w:r>
      <w:r w:rsidRPr="00E730FB">
        <w:rPr>
          <w:rStyle w:val="Pogrubienie"/>
          <w:rFonts w:ascii="Book Antiqua" w:hAnsi="Book Antiqua"/>
          <w:color w:val="242424"/>
          <w:shd w:val="clear" w:color="auto" w:fill="FFFFFF"/>
        </w:rPr>
        <w:t xml:space="preserve">ART in Architecture </w:t>
      </w:r>
      <w:proofErr w:type="spellStart"/>
      <w:r w:rsidRPr="00E730FB">
        <w:rPr>
          <w:rStyle w:val="Pogrubienie"/>
          <w:rFonts w:ascii="Book Antiqua" w:hAnsi="Book Antiqua"/>
          <w:color w:val="242424"/>
          <w:shd w:val="clear" w:color="auto" w:fill="FFFFFF"/>
        </w:rPr>
        <w:t>festival</w:t>
      </w:r>
      <w:proofErr w:type="spellEnd"/>
      <w:r w:rsidRPr="00E730FB">
        <w:rPr>
          <w:rStyle w:val="Pogrubienie"/>
          <w:rFonts w:ascii="Book Antiqua" w:hAnsi="Book Antiqua"/>
          <w:color w:val="242424"/>
          <w:shd w:val="clear" w:color="auto" w:fill="FFFFFF"/>
        </w:rPr>
        <w:t xml:space="preserve"> 2022.</w:t>
      </w:r>
      <w:bookmarkStart w:id="2" w:name="_Hlk50375310"/>
      <w:bookmarkStart w:id="3" w:name="_Hlk50376606"/>
      <w:bookmarkEnd w:id="1"/>
    </w:p>
    <w:p w14:paraId="474BBDEF" w14:textId="77777777" w:rsidR="008665CE" w:rsidRDefault="008665CE" w:rsidP="00870C3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42424"/>
          <w:lang w:eastAsia="pl-PL"/>
        </w:rPr>
      </w:pPr>
    </w:p>
    <w:p w14:paraId="55FCAAEE" w14:textId="2272C46B" w:rsidR="00870C39" w:rsidRPr="008665CE" w:rsidRDefault="00870C39" w:rsidP="00870C39">
      <w:pPr>
        <w:shd w:val="clear" w:color="auto" w:fill="FFFFFF"/>
        <w:spacing w:after="0" w:line="240" w:lineRule="auto"/>
        <w:jc w:val="both"/>
        <w:rPr>
          <w:rFonts w:ascii="Book Antiqua" w:hAnsi="Book Antiqua"/>
          <w:b/>
          <w:bCs/>
          <w:color w:val="242424"/>
          <w:shd w:val="clear" w:color="auto" w:fill="FFFFFF"/>
        </w:rPr>
      </w:pPr>
      <w:r w:rsidRPr="00E730FB">
        <w:rPr>
          <w:rFonts w:ascii="Book Antiqua" w:eastAsia="Times New Roman" w:hAnsi="Book Antiqua" w:cs="Calibri"/>
          <w:color w:val="242424"/>
          <w:lang w:eastAsia="pl-PL"/>
        </w:rPr>
        <w:t xml:space="preserve">– 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Powstały Skwer im. Profesor Karoliny Lanckorońskiej to święto nie tylko Zamku Królewskiego na Wawelu, dla którego postać donatorki jest niezwykle ważna, </w:t>
      </w:r>
      <w:r w:rsidR="00107F86">
        <w:rPr>
          <w:rFonts w:ascii="Book Antiqua" w:eastAsia="Times New Roman" w:hAnsi="Book Antiqua" w:cs="Calibri"/>
          <w:i/>
          <w:color w:val="242424"/>
          <w:lang w:eastAsia="pl-PL"/>
        </w:rPr>
        <w:t>to także ważne wydarzenie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 dla całego Krakowa. Mam nadzieję, że widoczne w mieście upamiętnienie</w:t>
      </w:r>
      <w:r w:rsidR="00107F86">
        <w:rPr>
          <w:rFonts w:ascii="Book Antiqua" w:eastAsia="Times New Roman" w:hAnsi="Book Antiqua" w:cs="Calibri"/>
          <w:i/>
          <w:color w:val="242424"/>
          <w:lang w:eastAsia="pl-PL"/>
        </w:rPr>
        <w:t xml:space="preserve"> prof.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 Lanckorońskiej p</w:t>
      </w:r>
      <w:r w:rsidR="008665CE">
        <w:rPr>
          <w:rFonts w:ascii="Book Antiqua" w:eastAsia="Times New Roman" w:hAnsi="Book Antiqua" w:cs="Calibri"/>
          <w:i/>
          <w:color w:val="242424"/>
          <w:lang w:eastAsia="pl-PL"/>
        </w:rPr>
        <w:t>rzyczyni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 się</w:t>
      </w:r>
      <w:r w:rsidR="008665CE">
        <w:rPr>
          <w:rFonts w:ascii="Book Antiqua" w:eastAsia="Times New Roman" w:hAnsi="Book Antiqua" w:cs="Calibri"/>
          <w:i/>
          <w:color w:val="242424"/>
          <w:lang w:eastAsia="pl-PL"/>
        </w:rPr>
        <w:t xml:space="preserve"> do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 upowszechnianiu wiedzy o jednej z najcenniejszych kolekcji na świecie</w:t>
      </w:r>
      <w:r w:rsidR="00107F86">
        <w:rPr>
          <w:rFonts w:ascii="Book Antiqua" w:eastAsia="Times New Roman" w:hAnsi="Book Antiqua" w:cs="Calibri"/>
          <w:i/>
          <w:color w:val="242424"/>
          <w:lang w:eastAsia="pl-PL"/>
        </w:rPr>
        <w:t>,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 xml:space="preserve"> jak i o życiu niezwykłej i doświadczonej przez historię </w:t>
      </w:r>
      <w:r w:rsidR="00493851">
        <w:rPr>
          <w:rFonts w:ascii="Book Antiqua" w:eastAsia="Times New Roman" w:hAnsi="Book Antiqua" w:cs="Calibri"/>
          <w:i/>
          <w:color w:val="242424"/>
          <w:lang w:eastAsia="pl-PL"/>
        </w:rPr>
        <w:t>K</w:t>
      </w:r>
      <w:r w:rsidRPr="00E730FB">
        <w:rPr>
          <w:rFonts w:ascii="Book Antiqua" w:eastAsia="Times New Roman" w:hAnsi="Book Antiqua" w:cs="Calibri"/>
          <w:i/>
          <w:color w:val="242424"/>
          <w:lang w:eastAsia="pl-PL"/>
        </w:rPr>
        <w:t>obiety</w:t>
      </w:r>
      <w:r w:rsidRPr="00E730FB">
        <w:rPr>
          <w:rFonts w:ascii="Book Antiqua" w:eastAsia="Times New Roman" w:hAnsi="Book Antiqua" w:cs="Calibri"/>
          <w:color w:val="242424"/>
          <w:lang w:eastAsia="pl-PL"/>
        </w:rPr>
        <w:t xml:space="preserve"> – mówi prof. Andrzej Betlej, Dyrektor Zamku Królewskiego na Wawelu, pomysłodawca inicjatywy.</w:t>
      </w:r>
    </w:p>
    <w:p w14:paraId="59365330" w14:textId="77777777" w:rsidR="00870C39" w:rsidRPr="00E730FB" w:rsidRDefault="00870C39" w:rsidP="00870C3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42424"/>
          <w:lang w:eastAsia="pl-PL"/>
        </w:rPr>
      </w:pPr>
    </w:p>
    <w:p w14:paraId="14223367" w14:textId="75B069CA" w:rsidR="00870C39" w:rsidRPr="00E730FB" w:rsidRDefault="00870C39" w:rsidP="00870C39">
      <w:pPr>
        <w:jc w:val="both"/>
        <w:rPr>
          <w:rFonts w:ascii="Book Antiqua" w:hAnsi="Book Antiqua"/>
        </w:rPr>
      </w:pPr>
      <w:r w:rsidRPr="00E730FB">
        <w:rPr>
          <w:rFonts w:ascii="Book Antiqua" w:hAnsi="Book Antiqua"/>
        </w:rPr>
        <w:t xml:space="preserve">Karol Lanckoroński – ojciec Karoliny – przez lata w swoim wiedeńskim pałacu tworzył wyjątkową kolekcję malarstwa. Dzięki darowi jego córki Karoliny, jej część znalazła się </w:t>
      </w:r>
      <w:r w:rsidR="00A52857">
        <w:rPr>
          <w:rFonts w:ascii="Book Antiqua" w:hAnsi="Book Antiqua"/>
        </w:rPr>
        <w:br/>
      </w:r>
      <w:r w:rsidRPr="00E730FB">
        <w:rPr>
          <w:rFonts w:ascii="Book Antiqua" w:hAnsi="Book Antiqua"/>
        </w:rPr>
        <w:t xml:space="preserve">w Zamku Królewskim na Wawelu. Na wspomnianej, tegorocznej wystawie, która stanowiła dopełnienie wawelskiej kolekcji, zwiedzający mogli podziwiać obrazy takie jak: „Święty Jerzy i smok” Paola Uccella (z </w:t>
      </w:r>
      <w:proofErr w:type="spellStart"/>
      <w:r w:rsidRPr="00E730FB">
        <w:rPr>
          <w:rFonts w:ascii="Book Antiqua" w:hAnsi="Book Antiqua"/>
        </w:rPr>
        <w:t>National</w:t>
      </w:r>
      <w:proofErr w:type="spellEnd"/>
      <w:r w:rsidRPr="00E730FB">
        <w:rPr>
          <w:rFonts w:ascii="Book Antiqua" w:hAnsi="Book Antiqua"/>
        </w:rPr>
        <w:t xml:space="preserve"> Gallery w Londynie), „Portret 21-letniej kobiety” pędzla naśladowcy </w:t>
      </w:r>
      <w:proofErr w:type="spellStart"/>
      <w:r w:rsidRPr="00E730FB">
        <w:rPr>
          <w:rFonts w:ascii="Book Antiqua" w:hAnsi="Book Antiqua"/>
        </w:rPr>
        <w:t>Bartholomaeusa</w:t>
      </w:r>
      <w:proofErr w:type="spellEnd"/>
      <w:r w:rsidRPr="00E730FB">
        <w:rPr>
          <w:rFonts w:ascii="Book Antiqua" w:hAnsi="Book Antiqua"/>
        </w:rPr>
        <w:t xml:space="preserve"> </w:t>
      </w:r>
      <w:proofErr w:type="spellStart"/>
      <w:r w:rsidRPr="00E730FB">
        <w:rPr>
          <w:rFonts w:ascii="Book Antiqua" w:hAnsi="Book Antiqua"/>
        </w:rPr>
        <w:t>Bruyna</w:t>
      </w:r>
      <w:proofErr w:type="spellEnd"/>
      <w:r w:rsidRPr="00E730FB">
        <w:rPr>
          <w:rFonts w:ascii="Book Antiqua" w:hAnsi="Book Antiqua"/>
        </w:rPr>
        <w:t xml:space="preserve"> starszego (</w:t>
      </w:r>
      <w:proofErr w:type="spellStart"/>
      <w:r w:rsidRPr="00E730FB">
        <w:rPr>
          <w:rFonts w:ascii="Book Antiqua" w:hAnsi="Book Antiqua"/>
        </w:rPr>
        <w:t>Ackland</w:t>
      </w:r>
      <w:proofErr w:type="spellEnd"/>
      <w:r w:rsidRPr="00E730FB">
        <w:rPr>
          <w:rFonts w:ascii="Book Antiqua" w:hAnsi="Book Antiqua"/>
        </w:rPr>
        <w:t xml:space="preserve"> Art </w:t>
      </w:r>
      <w:proofErr w:type="spellStart"/>
      <w:r w:rsidRPr="00E730FB">
        <w:rPr>
          <w:rFonts w:ascii="Book Antiqua" w:hAnsi="Book Antiqua"/>
        </w:rPr>
        <w:t>Museum</w:t>
      </w:r>
      <w:proofErr w:type="spellEnd"/>
      <w:r w:rsidRPr="00E730FB">
        <w:rPr>
          <w:rFonts w:ascii="Book Antiqua" w:hAnsi="Book Antiqua"/>
        </w:rPr>
        <w:t xml:space="preserve"> w </w:t>
      </w:r>
      <w:proofErr w:type="spellStart"/>
      <w:r w:rsidRPr="00E730FB">
        <w:rPr>
          <w:rFonts w:ascii="Book Antiqua" w:hAnsi="Book Antiqua"/>
        </w:rPr>
        <w:t>Chapel</w:t>
      </w:r>
      <w:proofErr w:type="spellEnd"/>
      <w:r w:rsidRPr="00E730FB">
        <w:rPr>
          <w:rFonts w:ascii="Book Antiqua" w:hAnsi="Book Antiqua"/>
        </w:rPr>
        <w:t xml:space="preserve"> Hill), oraz „Towarzystwo w parku </w:t>
      </w:r>
      <w:proofErr w:type="spellStart"/>
      <w:r w:rsidRPr="00E730FB">
        <w:rPr>
          <w:rFonts w:ascii="Book Antiqua" w:hAnsi="Book Antiqua"/>
        </w:rPr>
        <w:t>Barenda</w:t>
      </w:r>
      <w:proofErr w:type="spellEnd"/>
      <w:r w:rsidRPr="00E730FB">
        <w:rPr>
          <w:rFonts w:ascii="Book Antiqua" w:hAnsi="Book Antiqua"/>
        </w:rPr>
        <w:t xml:space="preserve"> </w:t>
      </w:r>
      <w:proofErr w:type="spellStart"/>
      <w:r w:rsidRPr="00E730FB">
        <w:rPr>
          <w:rFonts w:ascii="Book Antiqua" w:hAnsi="Book Antiqua"/>
        </w:rPr>
        <w:t>Graata</w:t>
      </w:r>
      <w:proofErr w:type="spellEnd"/>
      <w:r w:rsidRPr="00E730FB">
        <w:rPr>
          <w:rFonts w:ascii="Book Antiqua" w:hAnsi="Book Antiqua"/>
        </w:rPr>
        <w:t>” z dawnych zbiorów króla Stanisława Augusta (</w:t>
      </w:r>
      <w:proofErr w:type="spellStart"/>
      <w:r w:rsidRPr="00E730FB">
        <w:rPr>
          <w:rFonts w:ascii="Book Antiqua" w:hAnsi="Book Antiqua"/>
        </w:rPr>
        <w:t>Rijksmuseum</w:t>
      </w:r>
      <w:proofErr w:type="spellEnd"/>
      <w:r w:rsidRPr="00E730FB">
        <w:rPr>
          <w:rFonts w:ascii="Book Antiqua" w:hAnsi="Book Antiqua"/>
        </w:rPr>
        <w:t xml:space="preserve"> w Amsterdamie). </w:t>
      </w:r>
    </w:p>
    <w:p w14:paraId="7F1ABD85" w14:textId="536CEC28" w:rsidR="00870C39" w:rsidRPr="00E730FB" w:rsidRDefault="00870C39" w:rsidP="00870C39">
      <w:pPr>
        <w:jc w:val="both"/>
        <w:rPr>
          <w:rFonts w:ascii="Book Antiqua" w:hAnsi="Book Antiqua"/>
          <w:color w:val="000000" w:themeColor="text1"/>
        </w:rPr>
      </w:pPr>
      <w:r w:rsidRPr="00E730FB">
        <w:rPr>
          <w:rFonts w:ascii="Book Antiqua" w:hAnsi="Book Antiqua"/>
          <w:color w:val="000000" w:themeColor="text1"/>
        </w:rPr>
        <w:t>***</w:t>
      </w:r>
    </w:p>
    <w:p w14:paraId="14AC9173" w14:textId="72539915" w:rsidR="00870C39" w:rsidRPr="00E730FB" w:rsidRDefault="00870C39" w:rsidP="00870C39">
      <w:pPr>
        <w:jc w:val="both"/>
        <w:rPr>
          <w:rFonts w:ascii="Book Antiqua" w:hAnsi="Book Antiqua"/>
          <w:b/>
          <w:color w:val="000000" w:themeColor="text1"/>
        </w:rPr>
      </w:pPr>
      <w:r w:rsidRPr="00E730FB">
        <w:rPr>
          <w:rFonts w:ascii="Book Antiqua" w:hAnsi="Book Antiqua"/>
          <w:b/>
          <w:color w:val="000000" w:themeColor="text1"/>
        </w:rPr>
        <w:t>WYBITNA, AMBITNA, PIERWSZA</w:t>
      </w:r>
    </w:p>
    <w:p w14:paraId="3FE5A5FB" w14:textId="5E7A9858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 xml:space="preserve">Karolina Lanckorońska urodziła się 11 sierpnia 1898 roku w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Buchberg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am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Kamp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 xml:space="preserve">w Dolnej Austrii. Była córką Karola z Brzezia Lanckorońskiego (1848-1933)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>i Małgorzaty z książąt Lichnowskich (1863–1957). </w:t>
      </w:r>
    </w:p>
    <w:p w14:paraId="681D6207" w14:textId="408047CE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 xml:space="preserve">Ukończyła elitarne wiedeńskie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Schotengymansium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– szkołę o profilu klasycznym, do której uczęszczał także jej ojciec i brat Antoni. Wychowana w rodzinie, w której „upodobanie do sztuki i zmysł artystyczny były dziedziczne” – jak pisała księżna Nora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Fugger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dzieliła z ojcem zainteresowania sztuką. Z jedną różnicą: Karol Lanckoroński był pasjonatem włoskiego Quattrocenta. Karla, otoczona od dziecka dziełami sztuki, upodobała sobie wiek XVI – jej ulubionym artystą był Michał Anioł. Gdy miała 12 lat ojciec zabrał ją do Florencji, gdzie chciał pokazać córce freski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Fra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Angelica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w klasztorze San Marco. Obejrzała je posłusznie, ale swoją pasję odkryła dopiero wówczas, gdy zobaczyła Dawida Michała Anioła we florenckiej Galeria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dell’Accademia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. Zakupioną wówczas fotografię tej rzeźby miała zawsze na swoim biurku. Sąd Ostateczny Michała Anioła w kaplicy Sykstyńskiej był tematem jej rozprawy doktorskiej, którą obroniła w roku 1926. Doktorat był zwieńczeniem studiów w zakresie historii sztuki, które rozpoczęła jako wolna słuchaczka na Uniwersytecie Wiedeńskim pod kierunkiem zaprzyjaźnionego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 xml:space="preserve">z ojcem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Maxa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Dvořáka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po jego śmierci w roku 1921 kontynuowała je u Juliusza von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Schlossera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>. </w:t>
      </w:r>
    </w:p>
    <w:p w14:paraId="73A619F1" w14:textId="0F9C0C30" w:rsidR="00E730FB" w:rsidRPr="00A52857" w:rsidRDefault="00870C39" w:rsidP="00CD2934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 xml:space="preserve">W 1922 roku wyjechała po raz pierwszy do Rzymu; przez kilka lat pracowała tam jako bibliotekarka w Stacji Naukowej Polskiej Akademii Umiejętności, porządkując księgozbiór oraz słynną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rozdolską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Fototekę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ofiarowaną placówce przez jej ojca. Kontynuowała też pracę naukową. W roku 1934 została członkiem lwowskiego Towarzystwa Badań Historycznych, w październiku tego roku dopuszczono ją do habilitacji. Habilitowała się w roku następnym na Uniwersytecie Jana Kazimierza we Lwowie na podstawie rozprawy </w:t>
      </w:r>
      <w:r w:rsidR="000C306A">
        <w:rPr>
          <w:rFonts w:ascii="Book Antiqua" w:hAnsi="Book Antiqua"/>
          <w:color w:val="000000" w:themeColor="text1"/>
          <w:spacing w:val="14"/>
        </w:rPr>
        <w:t>„</w:t>
      </w:r>
      <w:r w:rsidRPr="00A52857">
        <w:rPr>
          <w:rFonts w:ascii="Book Antiqua" w:hAnsi="Book Antiqua"/>
          <w:color w:val="000000" w:themeColor="text1"/>
          <w:spacing w:val="14"/>
        </w:rPr>
        <w:t xml:space="preserve">Dekoracja kościoła del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Gesù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w Rzymie na tle rozwoju baroku w Rzymie</w:t>
      </w:r>
      <w:r w:rsidR="000C306A">
        <w:rPr>
          <w:rFonts w:ascii="Book Antiqua" w:hAnsi="Book Antiqua"/>
          <w:color w:val="000000" w:themeColor="text1"/>
          <w:spacing w:val="14"/>
        </w:rPr>
        <w:t>”</w:t>
      </w:r>
      <w:r w:rsidRPr="00A52857">
        <w:rPr>
          <w:rFonts w:ascii="Book Antiqua" w:hAnsi="Book Antiqua"/>
          <w:color w:val="000000" w:themeColor="text1"/>
          <w:spacing w:val="14"/>
        </w:rPr>
        <w:t>. Była pierwszą kobietą-docentem z zakresu historii sztuki na polskiej uczelni. Stanowisko, na które w pełni zasługiwała, otrzymała dzięki wstawiennictwu prof. Leona hr. 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Pinińskiego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. Malarstwo Giotta i twórczość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Pisanich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>, a także dzieła Rembrandta były tematem jej wykładów uniwersyteckich we Lwowie w roku akademickim 1938/1939. Nie było jej jednak dane pracować zbyt długo – wojna przerwała świetnie rozwijającą się karierę.</w:t>
      </w:r>
    </w:p>
    <w:p w14:paraId="5C72B92B" w14:textId="77777777" w:rsidR="00E730FB" w:rsidRPr="00A52857" w:rsidRDefault="00E730FB" w:rsidP="00870C39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color w:val="000000" w:themeColor="text1"/>
          <w:spacing w:val="14"/>
          <w:sz w:val="22"/>
          <w:szCs w:val="22"/>
        </w:rPr>
      </w:pPr>
    </w:p>
    <w:p w14:paraId="77F01B46" w14:textId="37C11020" w:rsidR="00870C39" w:rsidRPr="00A52857" w:rsidRDefault="00CC2D54" w:rsidP="00870C39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b/>
          <w:color w:val="000000" w:themeColor="text1"/>
          <w:spacing w:val="14"/>
          <w:sz w:val="22"/>
          <w:szCs w:val="22"/>
        </w:rPr>
      </w:pPr>
      <w:r w:rsidRPr="00A52857">
        <w:rPr>
          <w:rFonts w:ascii="Book Antiqua" w:hAnsi="Book Antiqua"/>
          <w:b/>
          <w:color w:val="000000" w:themeColor="text1"/>
          <w:spacing w:val="14"/>
          <w:sz w:val="22"/>
          <w:szCs w:val="22"/>
        </w:rPr>
        <w:lastRenderedPageBreak/>
        <w:t>DEMONY WOJNY</w:t>
      </w:r>
    </w:p>
    <w:p w14:paraId="551DE37F" w14:textId="77777777" w:rsidR="00870C39" w:rsidRPr="00A52857" w:rsidRDefault="00870C39" w:rsidP="00870C39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color w:val="000000" w:themeColor="text1"/>
          <w:spacing w:val="14"/>
          <w:sz w:val="22"/>
          <w:szCs w:val="22"/>
        </w:rPr>
      </w:pPr>
    </w:p>
    <w:p w14:paraId="76AD5813" w14:textId="77777777" w:rsidR="00870C39" w:rsidRPr="00A52857" w:rsidRDefault="00870C39" w:rsidP="00870C39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color w:val="000000" w:themeColor="text1"/>
          <w:spacing w:val="14"/>
          <w:sz w:val="22"/>
          <w:szCs w:val="22"/>
        </w:rPr>
      </w:pPr>
      <w:r w:rsidRPr="00A52857">
        <w:rPr>
          <w:rFonts w:ascii="Book Antiqua" w:hAnsi="Book Antiqua"/>
          <w:color w:val="000000" w:themeColor="text1"/>
          <w:spacing w:val="14"/>
          <w:sz w:val="22"/>
          <w:szCs w:val="22"/>
        </w:rPr>
        <w:t xml:space="preserve">Tragiczny dzień 1 września 1939 roku zastał ją w Rzymie. Niezwłocznie powróciła do Lwowa; na przełomie 1939 i 1940 roku prowadziła jeszcze wykłady na uniwersytecie ukraińskim; w styczniu 1940 złożyła przysięgę jako członek Związku Walki Zbrojnej. W maju 1940, w obawie przed aresztowaniem, uciekła ze Lwowa i przedostała się do Krakowa, gdzie nawiązała konspiracyjne kontakty, wykonując rozkazy Tadeusza Bora-Komorowskiego. W Krakowie rozpoczęła działalność w Radzie Głównej Opiekuńczej (RGO), działającej za zgodą niemieckiego okupanta, niosącej pomoc aresztowanym. Od stycznia do maja 1942 roku pracowała w Stanisławowie jako zarządca komisaryczny RGO dla 17 powiatów Galicji Wschodniej. Jej działalność zaczęła jednak wzbudzać coraz większe podejrzenia okupanta. Aresztowana 12 maja 1942 roku w Kołomyi, była przesłuchiwana w więzieniu w Stanisławowie przez szefa gestapo Hansa </w:t>
      </w:r>
      <w:proofErr w:type="spellStart"/>
      <w:r w:rsidRPr="00A52857">
        <w:rPr>
          <w:rFonts w:ascii="Book Antiqua" w:hAnsi="Book Antiqua"/>
          <w:color w:val="000000" w:themeColor="text1"/>
          <w:spacing w:val="14"/>
          <w:sz w:val="22"/>
          <w:szCs w:val="22"/>
        </w:rPr>
        <w:t>Krügera</w:t>
      </w:r>
      <w:proofErr w:type="spellEnd"/>
      <w:r w:rsidRPr="00A52857">
        <w:rPr>
          <w:rFonts w:ascii="Book Antiqua" w:hAnsi="Book Antiqua"/>
          <w:color w:val="000000" w:themeColor="text1"/>
          <w:spacing w:val="14"/>
          <w:sz w:val="22"/>
          <w:szCs w:val="22"/>
        </w:rPr>
        <w:t>, który nie mógł znieść faktu, że ona – córka Niemki – jest wrogiem Rzeszy.</w:t>
      </w:r>
    </w:p>
    <w:p w14:paraId="7318C20B" w14:textId="77777777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</w:rPr>
      </w:pPr>
    </w:p>
    <w:p w14:paraId="17D904A1" w14:textId="4D98CA6A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 xml:space="preserve">8 lipca 1942 Karolina Lanckorońska została przewieziona do więzienia we Lwowie przy ul. Łąckiego i tam na ręce Waltera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Kutschmanna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jednego z szefów gestapo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 xml:space="preserve">w Drohobyczu, złożyła obszerny, 14-stronicowy raport dotyczący zbrodni na lwowskich profesorach, obciążający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Krügera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; jeden egzemplarz trafił do rąk rektora Uniwersytetu Jana Kazimierza we Lwowie, profesora Stanisława Kulczyńskiego (1895-1975). Uniknęła śmierci dzięki wstawiennictwu członków włoskiej dynastii sabaudzkiej u samego Heinricha Himmlera. Pozornie wyrwana ze szponów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Krügera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nie odzyskała jednak wolności. Ze Lwowa przewieziono ją do więzienia w Berlinie przy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Alexanderplatz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, skąd 8 stycznia 1943 trafiła do obozu koncentracyjnego. W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Ravensbrück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spędziła dwa lata i trzy miesiące. 5 kwietnia 1945, zaledwie miesiąc przed zakończeniem wojny, została zwolniona</w:t>
      </w:r>
      <w:r w:rsidR="00CC2D54" w:rsidRPr="00A52857">
        <w:rPr>
          <w:rFonts w:ascii="Book Antiqua" w:hAnsi="Book Antiqua"/>
          <w:color w:val="000000" w:themeColor="text1"/>
          <w:spacing w:val="14"/>
        </w:rPr>
        <w:t>.</w:t>
      </w:r>
    </w:p>
    <w:p w14:paraId="3ACDCA84" w14:textId="3C2154C2" w:rsidR="00CC2D54" w:rsidRPr="00A52857" w:rsidRDefault="00CC2D54" w:rsidP="00870C39">
      <w:pPr>
        <w:jc w:val="both"/>
        <w:rPr>
          <w:rFonts w:ascii="Book Antiqua" w:hAnsi="Book Antiqua"/>
          <w:b/>
          <w:color w:val="000000" w:themeColor="text1"/>
          <w:spacing w:val="14"/>
        </w:rPr>
      </w:pPr>
      <w:r w:rsidRPr="00A52857">
        <w:rPr>
          <w:rFonts w:ascii="Book Antiqua" w:hAnsi="Book Antiqua"/>
          <w:b/>
          <w:color w:val="000000" w:themeColor="text1"/>
          <w:spacing w:val="14"/>
        </w:rPr>
        <w:t>ZAWSZE POL(S)KA</w:t>
      </w:r>
    </w:p>
    <w:p w14:paraId="7B9345DD" w14:textId="28D00AE7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>Do Polski po wojnie wrócić nie mogła – jej „mała ojczyzna”, ukochany Lwów i ma</w:t>
      </w:r>
      <w:r w:rsidR="00CD2934" w:rsidRPr="00A52857">
        <w:rPr>
          <w:rFonts w:ascii="Book Antiqua" w:hAnsi="Book Antiqua"/>
          <w:color w:val="000000" w:themeColor="text1"/>
          <w:spacing w:val="14"/>
        </w:rPr>
        <w:t xml:space="preserve">-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jątek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Komarno, znalazły się po drugiej stronie granicy.</w:t>
      </w:r>
    </w:p>
    <w:p w14:paraId="6343FAA5" w14:textId="4856047A" w:rsidR="00E730FB" w:rsidRPr="00A52857" w:rsidRDefault="00870C39" w:rsidP="00870C39">
      <w:pPr>
        <w:jc w:val="both"/>
        <w:rPr>
          <w:rFonts w:ascii="Book Antiqua" w:hAnsi="Book Antiqua"/>
          <w:color w:val="000000" w:themeColor="text1"/>
          <w:spacing w:val="14"/>
        </w:rPr>
      </w:pPr>
      <w:r w:rsidRPr="00A52857">
        <w:rPr>
          <w:rFonts w:ascii="Book Antiqua" w:hAnsi="Book Antiqua"/>
          <w:color w:val="000000" w:themeColor="text1"/>
          <w:spacing w:val="14"/>
        </w:rPr>
        <w:t>Jako oficer prasowy 2</w:t>
      </w:r>
      <w:r w:rsidR="00107F86">
        <w:rPr>
          <w:rFonts w:ascii="Book Antiqua" w:hAnsi="Book Antiqua"/>
          <w:color w:val="000000" w:themeColor="text1"/>
          <w:spacing w:val="14"/>
        </w:rPr>
        <w:t>.</w:t>
      </w:r>
      <w:r w:rsidRPr="00A52857">
        <w:rPr>
          <w:rFonts w:ascii="Book Antiqua" w:hAnsi="Book Antiqua"/>
          <w:color w:val="000000" w:themeColor="text1"/>
          <w:spacing w:val="14"/>
        </w:rPr>
        <w:t xml:space="preserve"> Korpusu armii gen. Władysława Andersa zajęła się organizacją studiów dla polskich żołnierzy. W stolicy Włoch osiadła na stałe; zamieszkała w Rzymie przy via Virginio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Orsini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19. Z okien swojego gabinetu widziała kopułę Bazyliki św. Piotra, na regale obok fotela stał blaszany kubek, który zabrała z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Ravensbrück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>. Polski paszport otrzymała dopiero w 1989</w:t>
      </w:r>
      <w:r w:rsidR="00107F86">
        <w:rPr>
          <w:rFonts w:ascii="Book Antiqua" w:hAnsi="Book Antiqua"/>
          <w:color w:val="000000" w:themeColor="text1"/>
          <w:spacing w:val="14"/>
        </w:rPr>
        <w:t xml:space="preserve"> roku</w:t>
      </w:r>
      <w:r w:rsidRPr="00A52857">
        <w:rPr>
          <w:rFonts w:ascii="Book Antiqua" w:hAnsi="Book Antiqua"/>
          <w:color w:val="000000" w:themeColor="text1"/>
          <w:spacing w:val="14"/>
        </w:rPr>
        <w:t xml:space="preserve"> – czując się Polką, po II wojnie światowej nie chciała przyjąć obywatelstwa żadnego kraju.</w:t>
      </w:r>
      <w:r w:rsidR="00CC2D54" w:rsidRPr="00A52857">
        <w:rPr>
          <w:rFonts w:ascii="Book Antiqua" w:hAnsi="Book Antiqua"/>
          <w:color w:val="000000" w:themeColor="text1"/>
          <w:spacing w:val="14"/>
        </w:rPr>
        <w:t xml:space="preserve"> </w:t>
      </w:r>
      <w:r w:rsidRPr="00A52857">
        <w:rPr>
          <w:rFonts w:ascii="Book Antiqua" w:hAnsi="Book Antiqua"/>
          <w:color w:val="000000" w:themeColor="text1"/>
          <w:spacing w:val="14"/>
        </w:rPr>
        <w:t>W listopadzie 1945 podpisała – wraz z ks. prałatem Walerianem Meysztowiczem – akt założycielski Polskiego Instytutu Historycznego w Rzymie. Instytut zajmował się przede wszystkim wydawanie</w:t>
      </w:r>
      <w:r w:rsidR="00493851">
        <w:rPr>
          <w:rFonts w:ascii="Book Antiqua" w:hAnsi="Book Antiqua"/>
          <w:color w:val="000000" w:themeColor="text1"/>
          <w:spacing w:val="14"/>
        </w:rPr>
        <w:t>m</w:t>
      </w:r>
      <w:r w:rsidR="00107F86">
        <w:rPr>
          <w:rFonts w:ascii="Book Antiqua" w:hAnsi="Book Antiqua"/>
          <w:color w:val="000000" w:themeColor="text1"/>
          <w:spacing w:val="14"/>
        </w:rPr>
        <w:t xml:space="preserve"> ź</w:t>
      </w:r>
      <w:r w:rsidRPr="00A52857">
        <w:rPr>
          <w:rFonts w:ascii="Book Antiqua" w:hAnsi="Book Antiqua"/>
          <w:color w:val="000000" w:themeColor="text1"/>
          <w:spacing w:val="14"/>
        </w:rPr>
        <w:t xml:space="preserve">ródeł dotyczących historii Polski, znajdujących się w archiwach zagranicznych. W roku 1967 utworzyła wraz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 xml:space="preserve">z bratem Antonim Fundację Lanckorońskich, przeznaczając na </w:t>
      </w:r>
      <w:r w:rsidR="00107F86">
        <w:rPr>
          <w:rFonts w:ascii="Book Antiqua" w:hAnsi="Book Antiqua"/>
          <w:color w:val="000000" w:themeColor="text1"/>
          <w:spacing w:val="14"/>
        </w:rPr>
        <w:t>jej potrzebny r</w:t>
      </w:r>
      <w:r w:rsidRPr="00A52857">
        <w:rPr>
          <w:rFonts w:ascii="Book Antiqua" w:hAnsi="Book Antiqua"/>
          <w:color w:val="000000" w:themeColor="text1"/>
          <w:spacing w:val="14"/>
        </w:rPr>
        <w:t>odzinny majątek. Za cel postawiła sobie finansowanie badań naukowych, rozdzielanie stypendiów, umożliwiających polskim badaczom pobyty za granicą, co miało fundamentalne znaczenie w trudnych dla Polski czasach socjalizmu.</w:t>
      </w:r>
    </w:p>
    <w:p w14:paraId="4AA5535B" w14:textId="77777777" w:rsidR="00612869" w:rsidRDefault="00612869" w:rsidP="00870C39">
      <w:pPr>
        <w:jc w:val="both"/>
        <w:rPr>
          <w:rFonts w:ascii="Book Antiqua" w:hAnsi="Book Antiqua"/>
          <w:b/>
          <w:color w:val="000000" w:themeColor="text1"/>
          <w:spacing w:val="14"/>
        </w:rPr>
      </w:pPr>
    </w:p>
    <w:p w14:paraId="66C7F055" w14:textId="04945C4B" w:rsidR="00CC2D54" w:rsidRPr="00A52857" w:rsidRDefault="00CC2D54" w:rsidP="00870C39">
      <w:pPr>
        <w:jc w:val="both"/>
        <w:rPr>
          <w:rFonts w:ascii="Book Antiqua" w:hAnsi="Book Antiqua"/>
          <w:b/>
          <w:color w:val="000000" w:themeColor="text1"/>
          <w:spacing w:val="14"/>
        </w:rPr>
      </w:pPr>
      <w:r w:rsidRPr="00A52857">
        <w:rPr>
          <w:rFonts w:ascii="Book Antiqua" w:hAnsi="Book Antiqua"/>
          <w:b/>
          <w:color w:val="000000" w:themeColor="text1"/>
          <w:spacing w:val="14"/>
        </w:rPr>
        <w:lastRenderedPageBreak/>
        <w:t>EPITAFIUM</w:t>
      </w:r>
    </w:p>
    <w:p w14:paraId="0D2ED406" w14:textId="1C6D9FF3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</w:rPr>
      </w:pPr>
      <w:r w:rsidRPr="00A52857">
        <w:rPr>
          <w:rFonts w:ascii="Book Antiqua" w:hAnsi="Book Antiqua"/>
          <w:color w:val="000000" w:themeColor="text1"/>
          <w:spacing w:val="14"/>
        </w:rPr>
        <w:t xml:space="preserve">Karolina Lanckorońska przeżyła całe XX stulecie. Zmarła 25 sierpnia 2002 </w:t>
      </w:r>
      <w:r w:rsidR="00CD2934"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Fonts w:ascii="Book Antiqua" w:hAnsi="Book Antiqua"/>
          <w:color w:val="000000" w:themeColor="text1"/>
          <w:spacing w:val="14"/>
        </w:rPr>
        <w:t xml:space="preserve">w Rzymie, została pochowana na cmentarzu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Campo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Verano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. Ani ona, ani jej siostra Adelajda, ani brat Antoni nie założyli rodziny. Ród wygasł. Pozostała kolekcja – część ogromnych zbiorów rodzinnych, gromadzonych od kilku pokoleń. Majątek rodzinny przeznaczyła – jak pisał Mieczysław Paszkiewicz – „na cele publiczne”. Na utrzymanie fundacji, wydawanie źródeł do dziejów Polski, na ratowanie polskich instytucji kulturalnych za granicą, na stypendia, na książki dla polskich bibliotek. I to ona – po wahaniach, za namową m.in. Lecha Kalinowskiego – podjęła decyzję o przekazaniu tego, co pozostało z rodzinnej kolekcji, zdziesiątkowanym przez niemieckiego okupanta polskim instytucjom kulturalnym. „Nie śniło mi się w najśmielszych marzeniach mojego długiego życia, że mi jeszcze będzie dane napisać ten list. Składam dar w hołdzie Rzeczpospolitej Wolnej i Niepodległej”, napisała w liście do ówczesnego Prezydenta Rzeczypospolitej we wrześniu 1994, gdy przekazywała do Polski dzieła sztuki, które przez blisko 50 lat zdobiły pałac jej ojca przy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Jacquingasse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18 w Wiedniu. Wierna rodowej dewizie: „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flammans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 xml:space="preserve"> pro recto” – „płonąć dla słuszności”.</w:t>
      </w:r>
    </w:p>
    <w:p w14:paraId="5888957D" w14:textId="77777777" w:rsidR="00870C39" w:rsidRPr="00A52857" w:rsidRDefault="00870C39" w:rsidP="00870C39">
      <w:pPr>
        <w:jc w:val="both"/>
        <w:rPr>
          <w:rFonts w:ascii="Book Antiqua" w:hAnsi="Book Antiqua"/>
          <w:color w:val="000000" w:themeColor="text1"/>
        </w:rPr>
      </w:pPr>
    </w:p>
    <w:p w14:paraId="0ADBB5CE" w14:textId="77777777" w:rsidR="00870C39" w:rsidRPr="00A52857" w:rsidRDefault="00870C39" w:rsidP="00870C39">
      <w:pPr>
        <w:rPr>
          <w:rFonts w:ascii="Book Antiqua" w:hAnsi="Book Antiqua"/>
          <w:color w:val="000000" w:themeColor="text1"/>
        </w:rPr>
      </w:pPr>
      <w:r w:rsidRPr="00A52857">
        <w:rPr>
          <w:rFonts w:ascii="Book Antiqua" w:hAnsi="Book Antiqua"/>
          <w:b/>
          <w:color w:val="000000" w:themeColor="text1"/>
        </w:rPr>
        <w:t>Dr Joanna Winiewicz-Wolska</w:t>
      </w:r>
      <w:r w:rsidRPr="00A52857">
        <w:rPr>
          <w:rFonts w:ascii="Book Antiqua" w:hAnsi="Book Antiqua"/>
          <w:color w:val="000000" w:themeColor="text1"/>
        </w:rPr>
        <w:t xml:space="preserve">, </w:t>
      </w:r>
      <w:r w:rsidRPr="00A52857">
        <w:rPr>
          <w:rFonts w:ascii="Book Antiqua" w:hAnsi="Book Antiqua"/>
          <w:i/>
          <w:color w:val="000000" w:themeColor="text1"/>
        </w:rPr>
        <w:t>O Karolinie Lanckorońskiej w dniu jej urodzin</w:t>
      </w:r>
      <w:r w:rsidRPr="00A52857">
        <w:rPr>
          <w:rFonts w:ascii="Book Antiqua" w:hAnsi="Book Antiqua"/>
          <w:color w:val="000000" w:themeColor="text1"/>
        </w:rPr>
        <w:t>, www.wawel.krakow.pl</w:t>
      </w:r>
    </w:p>
    <w:p w14:paraId="29DA47B3" w14:textId="77777777" w:rsidR="00870C39" w:rsidRPr="00A52857" w:rsidRDefault="00870C39" w:rsidP="00870C39">
      <w:pPr>
        <w:rPr>
          <w:rFonts w:ascii="Book Antiqua" w:hAnsi="Book Antiqua"/>
          <w:color w:val="000000" w:themeColor="text1"/>
        </w:rPr>
      </w:pPr>
      <w:r w:rsidRPr="00A52857">
        <w:rPr>
          <w:rFonts w:ascii="Book Antiqua" w:hAnsi="Book Antiqua"/>
          <w:color w:val="000000" w:themeColor="text1"/>
        </w:rPr>
        <w:t xml:space="preserve">Fot. </w:t>
      </w:r>
      <w:r w:rsidRPr="00A52857">
        <w:rPr>
          <w:rFonts w:ascii="Book Antiqua" w:hAnsi="Book Antiqua"/>
          <w:color w:val="000000" w:themeColor="text1"/>
          <w:spacing w:val="14"/>
        </w:rPr>
        <w:t>Victor  Hammer (1882-1945)</w:t>
      </w:r>
      <w:r w:rsidRPr="00A52857">
        <w:rPr>
          <w:rFonts w:ascii="Book Antiqua" w:hAnsi="Book Antiqua"/>
          <w:color w:val="000000" w:themeColor="text1"/>
          <w:spacing w:val="14"/>
        </w:rPr>
        <w:br/>
      </w:r>
      <w:r w:rsidRPr="00A52857">
        <w:rPr>
          <w:rStyle w:val="Pogrubienie"/>
          <w:rFonts w:ascii="Book Antiqua" w:hAnsi="Book Antiqua"/>
          <w:color w:val="000000" w:themeColor="text1"/>
          <w:spacing w:val="14"/>
          <w:bdr w:val="none" w:sz="0" w:space="0" w:color="auto" w:frame="1"/>
        </w:rPr>
        <w:t>Karolina Lanckorońska</w:t>
      </w:r>
      <w:r w:rsidRPr="00A52857">
        <w:rPr>
          <w:rFonts w:ascii="Book Antiqua" w:hAnsi="Book Antiqua"/>
          <w:color w:val="000000" w:themeColor="text1"/>
          <w:spacing w:val="14"/>
        </w:rPr>
        <w:t>, 1919</w:t>
      </w:r>
      <w:r w:rsidRPr="00A52857">
        <w:rPr>
          <w:rFonts w:ascii="Book Antiqua" w:hAnsi="Book Antiqua"/>
          <w:color w:val="000000" w:themeColor="text1"/>
          <w:spacing w:val="14"/>
        </w:rPr>
        <w:br/>
        <w:t>tempera i gwasz na pergaminie, ze złoceniami</w:t>
      </w:r>
      <w:r w:rsidRPr="00A52857">
        <w:rPr>
          <w:rFonts w:ascii="Book Antiqua" w:hAnsi="Book Antiqua"/>
          <w:color w:val="000000" w:themeColor="text1"/>
          <w:spacing w:val="14"/>
        </w:rPr>
        <w:br/>
        <w:t xml:space="preserve">nr </w:t>
      </w:r>
      <w:proofErr w:type="spellStart"/>
      <w:r w:rsidRPr="00A52857">
        <w:rPr>
          <w:rFonts w:ascii="Book Antiqua" w:hAnsi="Book Antiqua"/>
          <w:color w:val="000000" w:themeColor="text1"/>
          <w:spacing w:val="14"/>
        </w:rPr>
        <w:t>inw</w:t>
      </w:r>
      <w:proofErr w:type="spellEnd"/>
      <w:r w:rsidRPr="00A52857">
        <w:rPr>
          <w:rFonts w:ascii="Book Antiqua" w:hAnsi="Book Antiqua"/>
          <w:color w:val="000000" w:themeColor="text1"/>
          <w:spacing w:val="14"/>
        </w:rPr>
        <w:t>. 8287</w:t>
      </w:r>
    </w:p>
    <w:p w14:paraId="0816AE60" w14:textId="2C14C7B7" w:rsidR="00D917A1" w:rsidRPr="00A52857" w:rsidRDefault="00870C39" w:rsidP="00870C39">
      <w:pPr>
        <w:jc w:val="both"/>
        <w:rPr>
          <w:rFonts w:ascii="Book Antiqua" w:hAnsi="Book Antiqua" w:cstheme="minorHAnsi"/>
          <w:color w:val="000000" w:themeColor="text1"/>
        </w:rPr>
      </w:pPr>
      <w:r w:rsidRPr="00A52857">
        <w:rPr>
          <w:rFonts w:ascii="Book Antiqua" w:hAnsi="Book Antiqua" w:cstheme="minorHAnsi"/>
          <w:color w:val="000000" w:themeColor="text1"/>
        </w:rPr>
        <w:t xml:space="preserve">Opr. </w:t>
      </w:r>
      <w:r w:rsidR="003F3142">
        <w:rPr>
          <w:rFonts w:ascii="Book Antiqua" w:hAnsi="Book Antiqua" w:cstheme="minorHAnsi"/>
          <w:color w:val="000000" w:themeColor="text1"/>
        </w:rPr>
        <w:t xml:space="preserve">noty: </w:t>
      </w:r>
      <w:proofErr w:type="spellStart"/>
      <w:r w:rsidRPr="00A52857">
        <w:rPr>
          <w:rFonts w:ascii="Book Antiqua" w:hAnsi="Book Antiqua" w:cstheme="minorHAnsi"/>
          <w:color w:val="000000" w:themeColor="text1"/>
        </w:rPr>
        <w:t>uwd</w:t>
      </w:r>
      <w:proofErr w:type="spellEnd"/>
    </w:p>
    <w:p w14:paraId="3E76F4E6" w14:textId="59C00F52" w:rsidR="00F67FE5" w:rsidRPr="00E730FB" w:rsidRDefault="00F67FE5" w:rsidP="00F67FE5">
      <w:pPr>
        <w:spacing w:after="200" w:line="240" w:lineRule="auto"/>
        <w:rPr>
          <w:rFonts w:ascii="Book Antiqua" w:hAnsi="Book Antiqua" w:cstheme="minorHAnsi"/>
        </w:rPr>
      </w:pPr>
      <w:r w:rsidRPr="00E730FB">
        <w:rPr>
          <w:rFonts w:ascii="Book Antiqua" w:eastAsia="Book Antiqua" w:hAnsi="Book Antiqua" w:cstheme="minorHAnsi"/>
          <w:b/>
          <w:u w:val="single"/>
        </w:rPr>
        <w:t>Kontakt dla mediów:</w:t>
      </w:r>
    </w:p>
    <w:p w14:paraId="749DF7B7" w14:textId="2B711F89" w:rsidR="00C43CA4" w:rsidRPr="00E730FB" w:rsidRDefault="00F67FE5" w:rsidP="00F67FE5">
      <w:pPr>
        <w:spacing w:after="200" w:line="240" w:lineRule="auto"/>
        <w:rPr>
          <w:rFonts w:ascii="Book Antiqua" w:eastAsia="Book Antiqua" w:hAnsi="Book Antiqua" w:cstheme="minorHAnsi"/>
        </w:rPr>
      </w:pPr>
      <w:r w:rsidRPr="00E730FB">
        <w:rPr>
          <w:rFonts w:ascii="Book Antiqua" w:eastAsia="Book Antiqua" w:hAnsi="Book Antiqua" w:cstheme="minorHAnsi"/>
        </w:rPr>
        <w:t>Urszula Wolak-Dudek</w:t>
      </w:r>
      <w:r w:rsidRPr="00E730FB">
        <w:rPr>
          <w:rFonts w:ascii="Book Antiqua" w:eastAsia="Book Antiqua" w:hAnsi="Book Antiqua" w:cstheme="minorHAnsi"/>
        </w:rPr>
        <w:br/>
        <w:t>Rzecznik prasowy</w:t>
      </w:r>
      <w:r w:rsidRPr="00E730FB">
        <w:rPr>
          <w:rFonts w:ascii="Book Antiqua" w:eastAsia="Book Antiqua" w:hAnsi="Book Antiqua" w:cstheme="minorHAnsi"/>
        </w:rPr>
        <w:br/>
        <w:t>Tel. 513 867 147</w:t>
      </w:r>
      <w:r w:rsidRPr="00E730FB">
        <w:rPr>
          <w:rFonts w:ascii="Book Antiqua" w:eastAsia="Book Antiqua" w:hAnsi="Book Antiqua" w:cstheme="minorHAnsi"/>
        </w:rPr>
        <w:br/>
        <w:t xml:space="preserve">Email: </w:t>
      </w:r>
      <w:hyperlink r:id="rId11" w:history="1">
        <w:r w:rsidR="002125F1" w:rsidRPr="00E730FB">
          <w:rPr>
            <w:rStyle w:val="Hipercze"/>
            <w:rFonts w:ascii="Book Antiqua" w:eastAsia="Book Antiqua" w:hAnsi="Book Antiqua" w:cstheme="minorHAnsi"/>
          </w:rPr>
          <w:t>uwolak@wawelzamek.pl</w:t>
        </w:r>
      </w:hyperlink>
      <w:bookmarkEnd w:id="2"/>
      <w:bookmarkEnd w:id="3"/>
    </w:p>
    <w:sectPr w:rsidR="00C43CA4" w:rsidRPr="00E730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2121" w14:textId="77777777" w:rsidR="00882E27" w:rsidRDefault="00882E27" w:rsidP="00A57627">
      <w:pPr>
        <w:spacing w:after="0" w:line="240" w:lineRule="auto"/>
      </w:pPr>
      <w:r>
        <w:separator/>
      </w:r>
    </w:p>
  </w:endnote>
  <w:endnote w:type="continuationSeparator" w:id="0">
    <w:p w14:paraId="43C90E23" w14:textId="77777777" w:rsidR="00882E27" w:rsidRDefault="00882E27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2A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3BA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0CD5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B5DB" w14:textId="77777777" w:rsidR="00882E27" w:rsidRDefault="00882E27" w:rsidP="00A57627">
      <w:pPr>
        <w:spacing w:after="0" w:line="240" w:lineRule="auto"/>
      </w:pPr>
      <w:r>
        <w:separator/>
      </w:r>
    </w:p>
  </w:footnote>
  <w:footnote w:type="continuationSeparator" w:id="0">
    <w:p w14:paraId="560DDD82" w14:textId="77777777" w:rsidR="00882E27" w:rsidRDefault="00882E27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40B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2F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CDF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0E78"/>
    <w:multiLevelType w:val="hybridMultilevel"/>
    <w:tmpl w:val="2384F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8831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7"/>
    <w:rsid w:val="00005536"/>
    <w:rsid w:val="00010B67"/>
    <w:rsid w:val="00014868"/>
    <w:rsid w:val="000426A7"/>
    <w:rsid w:val="00053AAF"/>
    <w:rsid w:val="00057670"/>
    <w:rsid w:val="000A24BC"/>
    <w:rsid w:val="000B331D"/>
    <w:rsid w:val="000B5ECC"/>
    <w:rsid w:val="000B70C9"/>
    <w:rsid w:val="000C306A"/>
    <w:rsid w:val="000C528C"/>
    <w:rsid w:val="000C7FBC"/>
    <w:rsid w:val="000D0685"/>
    <w:rsid w:val="0010108C"/>
    <w:rsid w:val="00107F86"/>
    <w:rsid w:val="00111F2C"/>
    <w:rsid w:val="00112915"/>
    <w:rsid w:val="00117BAE"/>
    <w:rsid w:val="00132D27"/>
    <w:rsid w:val="001458B9"/>
    <w:rsid w:val="001476EC"/>
    <w:rsid w:val="001477D0"/>
    <w:rsid w:val="00155131"/>
    <w:rsid w:val="00175E35"/>
    <w:rsid w:val="00180FBF"/>
    <w:rsid w:val="00184007"/>
    <w:rsid w:val="00184D14"/>
    <w:rsid w:val="00197909"/>
    <w:rsid w:val="001C36DA"/>
    <w:rsid w:val="001D6166"/>
    <w:rsid w:val="001E5084"/>
    <w:rsid w:val="001F27B0"/>
    <w:rsid w:val="001F7FD3"/>
    <w:rsid w:val="002125F1"/>
    <w:rsid w:val="00213DF0"/>
    <w:rsid w:val="00224865"/>
    <w:rsid w:val="00234F62"/>
    <w:rsid w:val="002353A7"/>
    <w:rsid w:val="00235C36"/>
    <w:rsid w:val="0025007B"/>
    <w:rsid w:val="0026032F"/>
    <w:rsid w:val="002650FB"/>
    <w:rsid w:val="002704FB"/>
    <w:rsid w:val="002940BE"/>
    <w:rsid w:val="002A1285"/>
    <w:rsid w:val="002A4EDA"/>
    <w:rsid w:val="002E0F7C"/>
    <w:rsid w:val="002E7B8F"/>
    <w:rsid w:val="002F014C"/>
    <w:rsid w:val="002F1D22"/>
    <w:rsid w:val="002F2C7F"/>
    <w:rsid w:val="002F3F0D"/>
    <w:rsid w:val="00305580"/>
    <w:rsid w:val="0031122F"/>
    <w:rsid w:val="003210A7"/>
    <w:rsid w:val="003269AE"/>
    <w:rsid w:val="00333CCF"/>
    <w:rsid w:val="003344C6"/>
    <w:rsid w:val="003607DD"/>
    <w:rsid w:val="00361BED"/>
    <w:rsid w:val="0036406D"/>
    <w:rsid w:val="00381E1B"/>
    <w:rsid w:val="0039057E"/>
    <w:rsid w:val="00396E7E"/>
    <w:rsid w:val="0039751D"/>
    <w:rsid w:val="003A21AB"/>
    <w:rsid w:val="003A56E7"/>
    <w:rsid w:val="003A5B64"/>
    <w:rsid w:val="003D719D"/>
    <w:rsid w:val="003F3142"/>
    <w:rsid w:val="00415AC6"/>
    <w:rsid w:val="00416EAE"/>
    <w:rsid w:val="00451DFD"/>
    <w:rsid w:val="00465AD5"/>
    <w:rsid w:val="0048490F"/>
    <w:rsid w:val="00486F0B"/>
    <w:rsid w:val="00493851"/>
    <w:rsid w:val="004A7C2F"/>
    <w:rsid w:val="004B3AC6"/>
    <w:rsid w:val="004F4AAA"/>
    <w:rsid w:val="005057CF"/>
    <w:rsid w:val="00535E11"/>
    <w:rsid w:val="00561BB0"/>
    <w:rsid w:val="00581598"/>
    <w:rsid w:val="005A63C4"/>
    <w:rsid w:val="005B226E"/>
    <w:rsid w:val="005D7F0C"/>
    <w:rsid w:val="005F435B"/>
    <w:rsid w:val="005F4AC1"/>
    <w:rsid w:val="0060329D"/>
    <w:rsid w:val="00607B68"/>
    <w:rsid w:val="00612869"/>
    <w:rsid w:val="00644BF0"/>
    <w:rsid w:val="00650896"/>
    <w:rsid w:val="0065605A"/>
    <w:rsid w:val="00662F0E"/>
    <w:rsid w:val="00695291"/>
    <w:rsid w:val="006E160A"/>
    <w:rsid w:val="006E4FE6"/>
    <w:rsid w:val="00725D98"/>
    <w:rsid w:val="00733F0F"/>
    <w:rsid w:val="00737C9B"/>
    <w:rsid w:val="00740B98"/>
    <w:rsid w:val="0074417F"/>
    <w:rsid w:val="007576A1"/>
    <w:rsid w:val="00773BAC"/>
    <w:rsid w:val="00797F12"/>
    <w:rsid w:val="007A2B41"/>
    <w:rsid w:val="007A624E"/>
    <w:rsid w:val="007B0049"/>
    <w:rsid w:val="007D6856"/>
    <w:rsid w:val="00805DAD"/>
    <w:rsid w:val="008109C4"/>
    <w:rsid w:val="008665CE"/>
    <w:rsid w:val="00867725"/>
    <w:rsid w:val="00867D03"/>
    <w:rsid w:val="00870C39"/>
    <w:rsid w:val="008816B2"/>
    <w:rsid w:val="00882E27"/>
    <w:rsid w:val="00887978"/>
    <w:rsid w:val="008909B8"/>
    <w:rsid w:val="00891F32"/>
    <w:rsid w:val="00893956"/>
    <w:rsid w:val="0089608F"/>
    <w:rsid w:val="008D4CE9"/>
    <w:rsid w:val="008E47CE"/>
    <w:rsid w:val="008F48E4"/>
    <w:rsid w:val="009071C0"/>
    <w:rsid w:val="0091259D"/>
    <w:rsid w:val="0092125D"/>
    <w:rsid w:val="0092675F"/>
    <w:rsid w:val="00933067"/>
    <w:rsid w:val="00945C79"/>
    <w:rsid w:val="009657A1"/>
    <w:rsid w:val="009801E3"/>
    <w:rsid w:val="00991C39"/>
    <w:rsid w:val="0099702F"/>
    <w:rsid w:val="009A50AC"/>
    <w:rsid w:val="009B2ADA"/>
    <w:rsid w:val="009C3595"/>
    <w:rsid w:val="009D455E"/>
    <w:rsid w:val="009E1081"/>
    <w:rsid w:val="00A01632"/>
    <w:rsid w:val="00A02C8F"/>
    <w:rsid w:val="00A07680"/>
    <w:rsid w:val="00A114C5"/>
    <w:rsid w:val="00A37E0A"/>
    <w:rsid w:val="00A37E9C"/>
    <w:rsid w:val="00A513C9"/>
    <w:rsid w:val="00A52857"/>
    <w:rsid w:val="00A55A00"/>
    <w:rsid w:val="00A57627"/>
    <w:rsid w:val="00A911A9"/>
    <w:rsid w:val="00A93420"/>
    <w:rsid w:val="00A93E83"/>
    <w:rsid w:val="00AA6E59"/>
    <w:rsid w:val="00AC2387"/>
    <w:rsid w:val="00AD4BC0"/>
    <w:rsid w:val="00AE4FB9"/>
    <w:rsid w:val="00AE5BED"/>
    <w:rsid w:val="00AE5EC8"/>
    <w:rsid w:val="00B12A66"/>
    <w:rsid w:val="00B12CFC"/>
    <w:rsid w:val="00B15833"/>
    <w:rsid w:val="00B20347"/>
    <w:rsid w:val="00B20666"/>
    <w:rsid w:val="00B25C38"/>
    <w:rsid w:val="00B43859"/>
    <w:rsid w:val="00B60B0C"/>
    <w:rsid w:val="00B80E91"/>
    <w:rsid w:val="00BA1345"/>
    <w:rsid w:val="00BA7351"/>
    <w:rsid w:val="00BA7E76"/>
    <w:rsid w:val="00BB46D9"/>
    <w:rsid w:val="00BB7714"/>
    <w:rsid w:val="00BD6BED"/>
    <w:rsid w:val="00C24F72"/>
    <w:rsid w:val="00C27660"/>
    <w:rsid w:val="00C304D9"/>
    <w:rsid w:val="00C43CA4"/>
    <w:rsid w:val="00C76898"/>
    <w:rsid w:val="00CB106B"/>
    <w:rsid w:val="00CB2574"/>
    <w:rsid w:val="00CC0C1B"/>
    <w:rsid w:val="00CC2D54"/>
    <w:rsid w:val="00CC2EEB"/>
    <w:rsid w:val="00CD0A95"/>
    <w:rsid w:val="00CD2934"/>
    <w:rsid w:val="00CD6087"/>
    <w:rsid w:val="00D14E59"/>
    <w:rsid w:val="00D35CD8"/>
    <w:rsid w:val="00D5374E"/>
    <w:rsid w:val="00D766C9"/>
    <w:rsid w:val="00D83080"/>
    <w:rsid w:val="00D84AA0"/>
    <w:rsid w:val="00D86736"/>
    <w:rsid w:val="00D90738"/>
    <w:rsid w:val="00D917A1"/>
    <w:rsid w:val="00D937C3"/>
    <w:rsid w:val="00D950D6"/>
    <w:rsid w:val="00D97CAD"/>
    <w:rsid w:val="00DA4A37"/>
    <w:rsid w:val="00E141F6"/>
    <w:rsid w:val="00E213AC"/>
    <w:rsid w:val="00E32B76"/>
    <w:rsid w:val="00E42CB2"/>
    <w:rsid w:val="00E6500F"/>
    <w:rsid w:val="00E712C1"/>
    <w:rsid w:val="00E730FB"/>
    <w:rsid w:val="00E931BD"/>
    <w:rsid w:val="00E940AA"/>
    <w:rsid w:val="00EA0B5D"/>
    <w:rsid w:val="00EB4C1C"/>
    <w:rsid w:val="00EB6DEF"/>
    <w:rsid w:val="00ED37CB"/>
    <w:rsid w:val="00ED5369"/>
    <w:rsid w:val="00ED5383"/>
    <w:rsid w:val="00EF312E"/>
    <w:rsid w:val="00EF5401"/>
    <w:rsid w:val="00F04797"/>
    <w:rsid w:val="00F05722"/>
    <w:rsid w:val="00F41D0E"/>
    <w:rsid w:val="00F461DA"/>
    <w:rsid w:val="00F47BDF"/>
    <w:rsid w:val="00F616EA"/>
    <w:rsid w:val="00F64DCA"/>
    <w:rsid w:val="00F65619"/>
    <w:rsid w:val="00F67FE5"/>
    <w:rsid w:val="00F71C14"/>
    <w:rsid w:val="00F76F35"/>
    <w:rsid w:val="00F7723B"/>
    <w:rsid w:val="00F8609A"/>
    <w:rsid w:val="00F92B1B"/>
    <w:rsid w:val="00FC096F"/>
    <w:rsid w:val="00FD49F4"/>
    <w:rsid w:val="00FD747F"/>
    <w:rsid w:val="00FE171E"/>
    <w:rsid w:val="00FE7B63"/>
    <w:rsid w:val="00FF3BC1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7C1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9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25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D98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42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CB2"/>
  </w:style>
  <w:style w:type="paragraph" w:styleId="NormalnyWeb">
    <w:name w:val="Normal (Web)"/>
    <w:basedOn w:val="Normalny"/>
    <w:uiPriority w:val="99"/>
    <w:unhideWhenUsed/>
    <w:rsid w:val="000A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17A1"/>
    <w:rPr>
      <w:i/>
      <w:iCs/>
    </w:rPr>
  </w:style>
  <w:style w:type="paragraph" w:styleId="Poprawka">
    <w:name w:val="Revision"/>
    <w:hidden/>
    <w:uiPriority w:val="99"/>
    <w:semiHidden/>
    <w:rsid w:val="002940B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26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olak@wawelzame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7</cp:revision>
  <cp:lastPrinted>2022-11-08T08:51:00Z</cp:lastPrinted>
  <dcterms:created xsi:type="dcterms:W3CDTF">2022-12-13T11:09:00Z</dcterms:created>
  <dcterms:modified xsi:type="dcterms:W3CDTF">2022-12-15T13:58:00Z</dcterms:modified>
</cp:coreProperties>
</file>